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9D811" w14:textId="3DA5307F" w:rsidR="006372C0" w:rsidRDefault="00110E68">
      <w:r>
        <w:t>LEGGE DI BILANCIO 2024: MISURE AL VAGLIO</w:t>
      </w:r>
    </w:p>
    <w:p w14:paraId="76AE7C19" w14:textId="77777777" w:rsidR="00CF3761" w:rsidRDefault="00CF3761"/>
    <w:p w14:paraId="5B0AE41B" w14:textId="77777777" w:rsidR="00110E68" w:rsidRDefault="00110E68"/>
    <w:p w14:paraId="13A09940" w14:textId="4AFF5208" w:rsidR="00D301BC" w:rsidRDefault="00110E68" w:rsidP="00ED72EE">
      <w:pPr>
        <w:spacing w:line="480" w:lineRule="auto"/>
        <w:jc w:val="both"/>
      </w:pPr>
      <w:proofErr w:type="gramStart"/>
      <w:r>
        <w:t xml:space="preserve">Siamo </w:t>
      </w:r>
      <w:r w:rsidR="00D301BC">
        <w:t xml:space="preserve"> giunti</w:t>
      </w:r>
      <w:proofErr w:type="gramEnd"/>
      <w:r w:rsidR="00D301BC">
        <w:t xml:space="preserve">  </w:t>
      </w:r>
      <w:r>
        <w:t>al   momento della redazione  della legge di Bilancio 2024</w:t>
      </w:r>
      <w:r w:rsidR="00D301BC">
        <w:t xml:space="preserve">, </w:t>
      </w:r>
      <w:r>
        <w:t>e con la  NADEF, la nota di aggiornamento al Documento di Economia e Finanza, il Ministero d</w:t>
      </w:r>
      <w:r w:rsidR="003E2CB3">
        <w:t>ell’</w:t>
      </w:r>
      <w:r>
        <w:t xml:space="preserve"> Economia </w:t>
      </w:r>
      <w:r w:rsidR="003E2CB3">
        <w:t xml:space="preserve">e delle </w:t>
      </w:r>
      <w:r>
        <w:t xml:space="preserve"> Finanz</w:t>
      </w:r>
      <w:r w:rsidR="003E2CB3">
        <w:t xml:space="preserve">e </w:t>
      </w:r>
      <w:r>
        <w:t xml:space="preserve"> manifesta apprensione </w:t>
      </w:r>
      <w:r w:rsidR="007B2753">
        <w:t xml:space="preserve">per i dati </w:t>
      </w:r>
      <w:r w:rsidR="00D301BC">
        <w:t xml:space="preserve">relativi </w:t>
      </w:r>
      <w:r w:rsidR="007B2753">
        <w:t xml:space="preserve">  al </w:t>
      </w:r>
      <w:proofErr w:type="spellStart"/>
      <w:r w:rsidR="003E2CB3">
        <w:t>m</w:t>
      </w:r>
      <w:r w:rsidR="007B2753">
        <w:t>axisconto</w:t>
      </w:r>
      <w:proofErr w:type="spellEnd"/>
      <w:r w:rsidR="007B2753">
        <w:t xml:space="preserve"> dell’ Edilizia che ha tanto pesato sulla finanza pubblica.</w:t>
      </w:r>
      <w:r w:rsidR="00D301BC">
        <w:t xml:space="preserve"> </w:t>
      </w:r>
    </w:p>
    <w:p w14:paraId="01AF8967" w14:textId="3FFADB04" w:rsidR="00D301BC" w:rsidRDefault="007B2753" w:rsidP="00ED72EE">
      <w:pPr>
        <w:spacing w:line="480" w:lineRule="auto"/>
        <w:jc w:val="both"/>
      </w:pPr>
      <w:r>
        <w:t>Anche dal punto di vista polit</w:t>
      </w:r>
      <w:r w:rsidR="003E2CB3">
        <w:t>i</w:t>
      </w:r>
      <w:r>
        <w:t>co</w:t>
      </w:r>
      <w:r w:rsidR="003E2CB3">
        <w:t xml:space="preserve"> sul Superbonus</w:t>
      </w:r>
      <w:r w:rsidR="00D301BC">
        <w:t>,</w:t>
      </w:r>
      <w:r>
        <w:t xml:space="preserve"> come è noto, da tempo si trascina lo scontr</w:t>
      </w:r>
      <w:r w:rsidR="00453581">
        <w:t>o</w:t>
      </w:r>
      <w:r>
        <w:t>, e la stessa Presidente del Consiglio ne ha fatto uno dei bersagli privilegiati</w:t>
      </w:r>
      <w:r w:rsidR="00D301BC">
        <w:t xml:space="preserve">. </w:t>
      </w:r>
    </w:p>
    <w:p w14:paraId="14E2BE93" w14:textId="052EE12E" w:rsidR="00110E68" w:rsidRDefault="007B2753" w:rsidP="00ED72EE">
      <w:pPr>
        <w:spacing w:line="480" w:lineRule="auto"/>
        <w:jc w:val="both"/>
      </w:pPr>
      <w:r>
        <w:t>Il superbonus   rischia di ridurre not</w:t>
      </w:r>
      <w:r w:rsidR="00CB1207">
        <w:t xml:space="preserve">evolmente gli spazi di manovra </w:t>
      </w:r>
      <w:r>
        <w:t xml:space="preserve">della legge di Bilancio.  </w:t>
      </w:r>
      <w:r w:rsidR="005D6A87">
        <w:t>A</w:t>
      </w:r>
      <w:r>
        <w:t xml:space="preserve"> P</w:t>
      </w:r>
      <w:r w:rsidR="003E2CB3">
        <w:t>a</w:t>
      </w:r>
      <w:r>
        <w:t>lazzo Ch</w:t>
      </w:r>
      <w:r w:rsidR="00CB1207">
        <w:t>igi gira una stima secondo cui,</w:t>
      </w:r>
      <w:r>
        <w:t xml:space="preserve"> ancora oggi, il peso d</w:t>
      </w:r>
      <w:r w:rsidR="003E2CB3">
        <w:t>i tale agevolazione</w:t>
      </w:r>
      <w:r>
        <w:t xml:space="preserve"> ammonta a circa 3,5 miliardi di euro   al mese</w:t>
      </w:r>
      <w:r w:rsidR="00453581">
        <w:t>.</w:t>
      </w:r>
      <w:r>
        <w:t xml:space="preserve"> Per avere dati più precisi bisogna attendere, appunto, la</w:t>
      </w:r>
      <w:r w:rsidR="00D301BC">
        <w:t xml:space="preserve"> </w:t>
      </w:r>
      <w:proofErr w:type="gramStart"/>
      <w:r w:rsidR="00D301BC">
        <w:t xml:space="preserve">sopra </w:t>
      </w:r>
      <w:r w:rsidR="005D6A87">
        <w:t xml:space="preserve"> </w:t>
      </w:r>
      <w:r w:rsidR="00D301BC">
        <w:t>menzionata</w:t>
      </w:r>
      <w:proofErr w:type="gramEnd"/>
      <w:r w:rsidR="00D301BC">
        <w:t xml:space="preserve"> </w:t>
      </w:r>
      <w:r>
        <w:t xml:space="preserve"> NADEF  prevista per il 27/09</w:t>
      </w:r>
      <w:r w:rsidR="003E2CB3">
        <w:t xml:space="preserve">. </w:t>
      </w:r>
      <w:r w:rsidR="00D301BC">
        <w:t xml:space="preserve"> </w:t>
      </w:r>
      <w:r w:rsidR="003E2CB3">
        <w:t xml:space="preserve">Già a luglio, da alcuni dati dell’Enea </w:t>
      </w:r>
      <w:r w:rsidR="006B728E">
        <w:t xml:space="preserve">  sulle detrazioni maturat</w:t>
      </w:r>
      <w:r w:rsidR="00D301BC">
        <w:t>e</w:t>
      </w:r>
      <w:r w:rsidR="006B728E">
        <w:t xml:space="preserve"> per lavori </w:t>
      </w:r>
      <w:proofErr w:type="spellStart"/>
      <w:proofErr w:type="gramStart"/>
      <w:r w:rsidR="006B728E">
        <w:t>conclusi</w:t>
      </w:r>
      <w:r w:rsidR="00D301BC">
        <w:t>,</w:t>
      </w:r>
      <w:r w:rsidR="00CB1207">
        <w:t>risulta</w:t>
      </w:r>
      <w:proofErr w:type="spellEnd"/>
      <w:proofErr w:type="gramEnd"/>
      <w:r w:rsidR="00CB1207">
        <w:t xml:space="preserve"> che </w:t>
      </w:r>
      <w:r w:rsidR="006B728E">
        <w:t xml:space="preserve"> gli oneri dello Stato  del 2023 sono arrivati  a </w:t>
      </w:r>
      <w:r w:rsidR="00D301BC">
        <w:t xml:space="preserve"> ben </w:t>
      </w:r>
      <w:r w:rsidR="006B728E">
        <w:t>23 miliardi</w:t>
      </w:r>
      <w:r w:rsidR="00D301BC">
        <w:t xml:space="preserve"> di euro</w:t>
      </w:r>
      <w:r w:rsidR="00CB1207">
        <w:t>, raggiungendo così</w:t>
      </w:r>
      <w:r w:rsidR="00693F37">
        <w:t xml:space="preserve"> </w:t>
      </w:r>
      <w:r w:rsidR="00CB1207">
        <w:t xml:space="preserve">un costo per </w:t>
      </w:r>
      <w:r w:rsidR="00693F37">
        <w:t>le casse pubbliche</w:t>
      </w:r>
      <w:r w:rsidR="00CB1207">
        <w:t xml:space="preserve">, sin  dal </w:t>
      </w:r>
      <w:r w:rsidR="006B728E">
        <w:t xml:space="preserve"> varo </w:t>
      </w:r>
      <w:r w:rsidR="00CB1207">
        <w:t xml:space="preserve">del </w:t>
      </w:r>
      <w:proofErr w:type="spellStart"/>
      <w:r w:rsidR="00CB1207">
        <w:t>benificio</w:t>
      </w:r>
      <w:proofErr w:type="spellEnd"/>
      <w:r w:rsidR="00CB1207">
        <w:t>, di ,</w:t>
      </w:r>
      <w:r w:rsidR="00453581">
        <w:t xml:space="preserve">circa 74 miliardi. </w:t>
      </w:r>
      <w:r w:rsidR="006B728E">
        <w:t xml:space="preserve">La misura in esame ha sicuramente stimolato l’economia, in particolare il settore dell’edilizia, ma ha evidenziato una serie di sperequazioni  sociali  tra coloro che ne hanno potuto </w:t>
      </w:r>
      <w:proofErr w:type="spellStart"/>
      <w:r w:rsidR="006B728E">
        <w:t>beneficiare.</w:t>
      </w:r>
      <w:r w:rsidR="005D6A87">
        <w:t>Al</w:t>
      </w:r>
      <w:proofErr w:type="spellEnd"/>
      <w:r w:rsidR="005D6A87">
        <w:t xml:space="preserve"> di là di ogni polemica politica, </w:t>
      </w:r>
      <w:r w:rsidR="00693F37">
        <w:t xml:space="preserve"> obiettivamente </w:t>
      </w:r>
      <w:r w:rsidR="005D6A87">
        <w:t xml:space="preserve"> i numeri</w:t>
      </w:r>
      <w:r w:rsidR="00693F37">
        <w:t xml:space="preserve"> fanno da zavorra alla legge di </w:t>
      </w:r>
      <w:r w:rsidR="00453581">
        <w:t>B</w:t>
      </w:r>
      <w:r w:rsidR="00693F37">
        <w:t>ilancio che il governo   dovrà varare,  alle prese con altri problemi  collegati  con congiuntura economica, con il dilagare del  disagio sociale, con una serie di misure  adottate in esecuzione dei propri programmi elettorali che stanno accendendo dei focolai di tensione</w:t>
      </w:r>
      <w:r w:rsidR="00453581">
        <w:t>,</w:t>
      </w:r>
      <w:r w:rsidR="00693F37">
        <w:t xml:space="preserve">  soprattutto nel Mezzogiorno dove il contesto economico è più difficile.</w:t>
      </w:r>
    </w:p>
    <w:p w14:paraId="1DA0FCBE" w14:textId="72815A81" w:rsidR="00C11131" w:rsidRDefault="00C11131" w:rsidP="00ED72EE">
      <w:pPr>
        <w:spacing w:line="480" w:lineRule="auto"/>
        <w:jc w:val="both"/>
      </w:pPr>
      <w:r>
        <w:t xml:space="preserve"> </w:t>
      </w:r>
      <w:proofErr w:type="gramStart"/>
      <w:r w:rsidR="00453581">
        <w:t>V</w:t>
      </w:r>
      <w:r>
        <w:t>ige</w:t>
      </w:r>
      <w:r w:rsidR="00CB1207">
        <w:t xml:space="preserve"> </w:t>
      </w:r>
      <w:r w:rsidR="00453581">
        <w:t>,dunque</w:t>
      </w:r>
      <w:proofErr w:type="gramEnd"/>
      <w:r w:rsidR="00453581">
        <w:t>,</w:t>
      </w:r>
      <w:r>
        <w:t xml:space="preserve"> grande incertezza che dipende da va</w:t>
      </w:r>
      <w:r w:rsidR="00453581">
        <w:t>r</w:t>
      </w:r>
      <w:r>
        <w:t xml:space="preserve">i fattori,  anche dalla situazione Europea, ovvero da quando  Bruxelles deciderà di rintrodurre  i vincoli di bilancio, </w:t>
      </w:r>
      <w:r w:rsidR="0005575B">
        <w:t xml:space="preserve">una </w:t>
      </w:r>
      <w:r>
        <w:t xml:space="preserve">decisione ancora oggetto di negoziato tra gli schieramenti contrapposti degli </w:t>
      </w:r>
      <w:r w:rsidR="0005575B">
        <w:t>S</w:t>
      </w:r>
      <w:r>
        <w:t xml:space="preserve">tati. </w:t>
      </w:r>
    </w:p>
    <w:p w14:paraId="178ABCB1" w14:textId="19B50754" w:rsidR="00F1097D" w:rsidRDefault="00F95B1A" w:rsidP="00ED72EE">
      <w:pPr>
        <w:spacing w:line="480" w:lineRule="auto"/>
        <w:jc w:val="both"/>
      </w:pPr>
      <w:r>
        <w:t xml:space="preserve">Visto il contesto economico finanziario, è necessaria </w:t>
      </w:r>
      <w:r w:rsidR="00C11131">
        <w:t>molta prudenza</w:t>
      </w:r>
      <w:r>
        <w:t>. Il Documento di Economia e Finanza di quest’anno</w:t>
      </w:r>
      <w:r w:rsidR="0005575B">
        <w:t>, infatti,</w:t>
      </w:r>
      <w:r>
        <w:t xml:space="preserve"> prevede solo </w:t>
      </w:r>
      <w:proofErr w:type="gramStart"/>
      <w:r>
        <w:t>3  miliardi</w:t>
      </w:r>
      <w:proofErr w:type="gramEnd"/>
      <w:r>
        <w:t xml:space="preserve"> di euro vincolati  di fatto alla riduzione del cuneo fiscale</w:t>
      </w:r>
      <w:r w:rsidR="00562B71">
        <w:t>,</w:t>
      </w:r>
      <w:r>
        <w:t xml:space="preserve"> ma con una  base  di appena  4 miliardi per la legge di </w:t>
      </w:r>
      <w:r w:rsidR="0005575B">
        <w:t>B</w:t>
      </w:r>
      <w:r>
        <w:t>ilancio</w:t>
      </w:r>
      <w:r w:rsidR="00562B71">
        <w:t xml:space="preserve"> del 2024. Naturalmente l’esecutivo confida che vi siano </w:t>
      </w:r>
      <w:proofErr w:type="gramStart"/>
      <w:r w:rsidR="00562B71">
        <w:lastRenderedPageBreak/>
        <w:t>spazi</w:t>
      </w:r>
      <w:r w:rsidR="0005575B">
        <w:t xml:space="preserve"> </w:t>
      </w:r>
      <w:r w:rsidR="00562B71">
        <w:t xml:space="preserve"> di</w:t>
      </w:r>
      <w:proofErr w:type="gramEnd"/>
      <w:r w:rsidR="00562B71">
        <w:t xml:space="preserve"> manovra più ampi derivanti da una crescita economica del Paese superiore  alle previsioni inserite  nei documenti finanziari. Il quadro dell’insieme descritto dal </w:t>
      </w:r>
      <w:proofErr w:type="gramStart"/>
      <w:r w:rsidR="00562B71">
        <w:t>Documento  di</w:t>
      </w:r>
      <w:proofErr w:type="gramEnd"/>
      <w:r w:rsidR="00562B71">
        <w:t xml:space="preserve"> Economia e Finanza prende atto delle prospettive di crescita  dell’anno in corso più vantaggiose  rispetto alle stime di novembre </w:t>
      </w:r>
      <w:r w:rsidR="0005575B">
        <w:t>scorso.</w:t>
      </w:r>
      <w:r w:rsidR="00562B71">
        <w:t xml:space="preserve"> </w:t>
      </w:r>
      <w:proofErr w:type="gramStart"/>
      <w:r w:rsidR="00562B71">
        <w:t>Pe</w:t>
      </w:r>
      <w:r w:rsidR="0005575B">
        <w:t>r</w:t>
      </w:r>
      <w:r w:rsidR="00562B71">
        <w:t>ò  bisogna</w:t>
      </w:r>
      <w:proofErr w:type="gramEnd"/>
      <w:r w:rsidR="00562B71">
        <w:t xml:space="preserve"> tener conto di fattori come la guerra in Ucraina, l’aumento dei  tassi di interesse,</w:t>
      </w:r>
      <w:r w:rsidR="0005575B">
        <w:t xml:space="preserve"> </w:t>
      </w:r>
      <w:r w:rsidR="00562B71">
        <w:t>e</w:t>
      </w:r>
      <w:r w:rsidR="0005575B">
        <w:t>,</w:t>
      </w:r>
      <w:r w:rsidR="00562B71">
        <w:t xml:space="preserve"> non ultimo, l’aumento del costo del petrolio che  potrebbe impattare sulle dinamiche della finanza pubblica nei prossimi mesi. </w:t>
      </w:r>
      <w:r w:rsidR="0005575B">
        <w:t xml:space="preserve"> </w:t>
      </w:r>
      <w:r w:rsidR="005D6A87">
        <w:t xml:space="preserve">Tra le misure in esame </w:t>
      </w:r>
      <w:proofErr w:type="gramStart"/>
      <w:r w:rsidR="005D6A87">
        <w:t xml:space="preserve">appare  </w:t>
      </w:r>
      <w:r w:rsidR="00A637D5">
        <w:t>una</w:t>
      </w:r>
      <w:proofErr w:type="gramEnd"/>
      <w:r w:rsidR="00A637D5">
        <w:t xml:space="preserve"> nuova gestione </w:t>
      </w:r>
      <w:proofErr w:type="spellStart"/>
      <w:r w:rsidR="00A637D5">
        <w:t>dell’irpef</w:t>
      </w:r>
      <w:proofErr w:type="spellEnd"/>
      <w:r w:rsidR="00A637D5">
        <w:t xml:space="preserve"> introdotta  dalla riforma fiscale  ed </w:t>
      </w:r>
      <w:r w:rsidR="00BD6638">
        <w:t xml:space="preserve"> Il rinnovo del taglio del cuneo fiscale,</w:t>
      </w:r>
      <w:r w:rsidR="00A637D5">
        <w:t xml:space="preserve"> quest’ultimo  in particolare  </w:t>
      </w:r>
      <w:r w:rsidR="00BD6638">
        <w:t xml:space="preserve"> considerat</w:t>
      </w:r>
      <w:r w:rsidR="00A637D5">
        <w:t>o</w:t>
      </w:r>
      <w:r w:rsidR="00BD6638">
        <w:t xml:space="preserve"> dal Governo Meloni come una misura irrinunciabile ,  </w:t>
      </w:r>
      <w:r w:rsidR="005D6A87">
        <w:t xml:space="preserve">mirata a </w:t>
      </w:r>
      <w:r w:rsidR="00BD6638">
        <w:t xml:space="preserve">  dare respiro ai lavoratori  sempre più soggetti a dinamiche di  riduzione del potere d’acquisto  e di aumento dei prezzi</w:t>
      </w:r>
      <w:r w:rsidR="00A637D5">
        <w:t>.</w:t>
      </w:r>
      <w:r w:rsidR="0005575B">
        <w:t xml:space="preserve"> </w:t>
      </w:r>
      <w:r w:rsidR="00A637D5">
        <w:t xml:space="preserve">Tutto ruota attorno alla raccolta di risorse necessarie per coprire le </w:t>
      </w:r>
      <w:proofErr w:type="gramStart"/>
      <w:r w:rsidR="00A637D5">
        <w:t xml:space="preserve">innovazioni </w:t>
      </w:r>
      <w:r w:rsidR="005D6A87">
        <w:t>,</w:t>
      </w:r>
      <w:proofErr w:type="gramEnd"/>
      <w:r w:rsidR="005D6A87">
        <w:t xml:space="preserve"> per le quali </w:t>
      </w:r>
      <w:r w:rsidR="00A637D5">
        <w:t xml:space="preserve"> </w:t>
      </w:r>
      <w:r w:rsidR="005D6A87">
        <w:t>occorrono</w:t>
      </w:r>
      <w:r w:rsidR="00A637D5">
        <w:t xml:space="preserve"> 30 miliardi di euro di cui almeno 11</w:t>
      </w:r>
      <w:r w:rsidR="0005575B">
        <w:t xml:space="preserve"> necessari</w:t>
      </w:r>
      <w:r w:rsidR="00A637D5">
        <w:t xml:space="preserve"> per mantenere il taglio del cuneo fiscale nel 2024, senza il quale i lavoratori potrebbero trovare una riduzione in  busta paga fino a  cento euro.</w:t>
      </w:r>
      <w:r w:rsidR="005D6A87">
        <w:t xml:space="preserve"> </w:t>
      </w:r>
      <w:r w:rsidR="0005575B">
        <w:t xml:space="preserve"> </w:t>
      </w:r>
      <w:r w:rsidR="00A637D5">
        <w:t xml:space="preserve">Al </w:t>
      </w:r>
      <w:proofErr w:type="gramStart"/>
      <w:r w:rsidR="00A637D5">
        <w:t>momento</w:t>
      </w:r>
      <w:r w:rsidR="005D6A87">
        <w:t>,</w:t>
      </w:r>
      <w:r w:rsidR="00A637D5">
        <w:t xml:space="preserve"> </w:t>
      </w:r>
      <w:r w:rsidR="005D6A87">
        <w:t xml:space="preserve"> secondo</w:t>
      </w:r>
      <w:proofErr w:type="gramEnd"/>
      <w:r w:rsidR="005D6A87">
        <w:t xml:space="preserve"> </w:t>
      </w:r>
      <w:r w:rsidR="00A637D5">
        <w:t xml:space="preserve">alcune stime </w:t>
      </w:r>
      <w:r w:rsidR="005D6A87">
        <w:t xml:space="preserve">,ben </w:t>
      </w:r>
      <w:r w:rsidR="00A637D5">
        <w:t>20 miliardi</w:t>
      </w:r>
      <w:r w:rsidR="0005575B">
        <w:t xml:space="preserve"> di euro </w:t>
      </w:r>
      <w:r w:rsidR="00A637D5">
        <w:t xml:space="preserve"> sono ancora di difficile reperibilità. Proprio per questo</w:t>
      </w:r>
      <w:r w:rsidR="0005575B">
        <w:t xml:space="preserve"> motivo,</w:t>
      </w:r>
      <w:r w:rsidR="00A637D5">
        <w:t xml:space="preserve"> 300 crediti d’imposta sono ora sotto </w:t>
      </w:r>
      <w:r w:rsidR="00F1097D">
        <w:t>la lente di osservazione del MEF che, alle ricerc</w:t>
      </w:r>
      <w:r w:rsidR="005D6A87">
        <w:t>a</w:t>
      </w:r>
      <w:r w:rsidR="00F1097D">
        <w:t xml:space="preserve"> di nuovi fondi, ha deciso di ridurre i </w:t>
      </w:r>
      <w:proofErr w:type="gramStart"/>
      <w:r w:rsidR="00F1097D">
        <w:t>crediti  di</w:t>
      </w:r>
      <w:proofErr w:type="gramEnd"/>
      <w:r w:rsidR="00F1097D">
        <w:t xml:space="preserve"> imposta e, più in generale, le detrazioni. Ciò non giova </w:t>
      </w:r>
      <w:proofErr w:type="gramStart"/>
      <w:r w:rsidR="00F1097D">
        <w:t>soprattutto  ai</w:t>
      </w:r>
      <w:proofErr w:type="gramEnd"/>
      <w:r w:rsidR="00F1097D">
        <w:t xml:space="preserve"> lavoratori autonomi che hanno già visto,</w:t>
      </w:r>
      <w:r w:rsidR="00780812">
        <w:t xml:space="preserve"> </w:t>
      </w:r>
      <w:r w:rsidR="0005575B">
        <w:t>a partire dal governo Monti in avanti</w:t>
      </w:r>
      <w:r w:rsidR="00F1097D">
        <w:t xml:space="preserve">, ridursi i margini di applicazione delle detrazioni. </w:t>
      </w:r>
    </w:p>
    <w:p w14:paraId="77E79178" w14:textId="77777777" w:rsidR="00F1097D" w:rsidRDefault="00F1097D" w:rsidP="00ED72EE">
      <w:pPr>
        <w:spacing w:line="480" w:lineRule="auto"/>
        <w:jc w:val="both"/>
      </w:pPr>
      <w:r>
        <w:t>Sostanzialmente sono due gli approcci possibili per sostenere il rinnovo del taglio del cuneo fiscale.</w:t>
      </w:r>
    </w:p>
    <w:p w14:paraId="66DE5589" w14:textId="407587CD" w:rsidR="00F1097D" w:rsidRDefault="00F1097D" w:rsidP="00ED72EE">
      <w:pPr>
        <w:spacing w:line="480" w:lineRule="auto"/>
        <w:jc w:val="both"/>
        <w:rPr>
          <w:rFonts w:eastAsia="Times New Roman" w:cstheme="minorHAnsi"/>
          <w:color w:val="231919"/>
          <w:kern w:val="0"/>
          <w:lang w:eastAsia="it-IT"/>
          <w14:ligatures w14:val="none"/>
        </w:rPr>
      </w:pPr>
      <w:r w:rsidRPr="00F1097D">
        <w:rPr>
          <w:rFonts w:eastAsia="Times New Roman" w:cstheme="minorHAnsi"/>
          <w:color w:val="231919"/>
          <w:kern w:val="0"/>
          <w:lang w:eastAsia="it-IT"/>
          <w14:ligatures w14:val="none"/>
        </w:rPr>
        <w:t>La prima opzione coinvolge la </w:t>
      </w:r>
      <w:r w:rsidRPr="00F1097D">
        <w:rPr>
          <w:rFonts w:eastAsia="Times New Roman" w:cstheme="minorHAnsi"/>
          <w:b/>
          <w:bCs/>
          <w:color w:val="231919"/>
          <w:kern w:val="0"/>
          <w:lang w:eastAsia="it-IT"/>
          <w14:ligatures w14:val="none"/>
        </w:rPr>
        <w:t>modifica del limite di 120.000 € </w:t>
      </w:r>
      <w:r w:rsidRPr="00F1097D">
        <w:rPr>
          <w:rFonts w:eastAsia="Times New Roman" w:cstheme="minorHAnsi"/>
          <w:color w:val="231919"/>
          <w:kern w:val="0"/>
          <w:lang w:eastAsia="it-IT"/>
          <w14:ligatures w14:val="none"/>
        </w:rPr>
        <w:t>che contribuisce alla riduzione delle </w:t>
      </w:r>
      <w:r w:rsidRPr="00F1097D">
        <w:rPr>
          <w:rFonts w:eastAsia="Times New Roman" w:cstheme="minorHAnsi"/>
          <w:b/>
          <w:bCs/>
          <w:color w:val="231919"/>
          <w:kern w:val="0"/>
          <w:lang w:eastAsia="it-IT"/>
          <w14:ligatures w14:val="none"/>
        </w:rPr>
        <w:t>detrazioni fiscali</w:t>
      </w:r>
      <w:r w:rsidRPr="00F1097D">
        <w:rPr>
          <w:rFonts w:eastAsia="Times New Roman" w:cstheme="minorHAnsi"/>
          <w:color w:val="231919"/>
          <w:kern w:val="0"/>
          <w:lang w:eastAsia="it-IT"/>
          <w14:ligatures w14:val="none"/>
        </w:rPr>
        <w:t> disponibili, a fronte dell’introduzione di un limite annuo per le spese detraibili per ciascun</w:t>
      </w:r>
      <w:r>
        <w:rPr>
          <w:rFonts w:eastAsia="Times New Roman" w:cstheme="minorHAnsi"/>
          <w:color w:val="231919"/>
          <w:kern w:val="0"/>
          <w:lang w:eastAsia="it-IT"/>
          <w14:ligatures w14:val="none"/>
        </w:rPr>
        <w:t xml:space="preserve"> </w:t>
      </w:r>
      <w:r w:rsidRPr="00F1097D">
        <w:rPr>
          <w:rFonts w:eastAsia="Times New Roman" w:cstheme="minorHAnsi"/>
          <w:color w:val="231919"/>
          <w:kern w:val="0"/>
          <w:lang w:eastAsia="it-IT"/>
          <w14:ligatures w14:val="none"/>
        </w:rPr>
        <w:t>contribuente. La seconda ipotesi si concentra sulla definizione di un </w:t>
      </w:r>
      <w:r w:rsidRPr="0005575B">
        <w:rPr>
          <w:rFonts w:eastAsia="Times New Roman" w:cstheme="minorHAnsi"/>
          <w:b/>
          <w:bCs/>
          <w:color w:val="231919"/>
          <w:kern w:val="0"/>
          <w:lang w:eastAsia="it-IT"/>
          <w14:ligatures w14:val="none"/>
        </w:rPr>
        <w:t>limite massimo per i bonus che possono essere utilizzati in un anno,</w:t>
      </w:r>
      <w:r w:rsidRPr="0045284D">
        <w:rPr>
          <w:rFonts w:eastAsia="Times New Roman" w:cstheme="minorHAnsi"/>
          <w:color w:val="231919"/>
          <w:kern w:val="0"/>
          <w:lang w:eastAsia="it-IT"/>
          <w14:ligatures w14:val="none"/>
        </w:rPr>
        <w:t xml:space="preserve"> che possono variare in base all’importo dei redditi dichiarati.</w:t>
      </w:r>
    </w:p>
    <w:p w14:paraId="13A6B1E1" w14:textId="5A5D842E" w:rsidR="00800226" w:rsidRPr="002E1C65" w:rsidRDefault="00EC40C6" w:rsidP="002E1C65">
      <w:pPr>
        <w:spacing w:after="390" w:line="480" w:lineRule="auto"/>
        <w:jc w:val="both"/>
        <w:rPr>
          <w:rFonts w:eastAsia="Times New Roman" w:cstheme="minorHAnsi"/>
          <w:color w:val="231919"/>
          <w:kern w:val="0"/>
          <w:lang w:eastAsia="it-IT"/>
          <w14:ligatures w14:val="none"/>
        </w:rPr>
      </w:pPr>
      <w:r>
        <w:rPr>
          <w:rFonts w:eastAsia="Times New Roman" w:cstheme="minorHAnsi"/>
          <w:color w:val="231919"/>
          <w:kern w:val="0"/>
          <w:lang w:eastAsia="it-IT"/>
          <w14:ligatures w14:val="none"/>
        </w:rPr>
        <w:t>Quindi</w:t>
      </w:r>
      <w:r w:rsidR="002E1C65">
        <w:rPr>
          <w:rFonts w:eastAsia="Times New Roman" w:cstheme="minorHAnsi"/>
          <w:color w:val="231919"/>
          <w:kern w:val="0"/>
          <w:lang w:eastAsia="it-IT"/>
          <w14:ligatures w14:val="none"/>
        </w:rPr>
        <w:t>,</w:t>
      </w:r>
      <w:r>
        <w:rPr>
          <w:rFonts w:eastAsia="Times New Roman" w:cstheme="minorHAnsi"/>
          <w:color w:val="231919"/>
          <w:kern w:val="0"/>
          <w:lang w:eastAsia="it-IT"/>
          <w14:ligatures w14:val="none"/>
        </w:rPr>
        <w:t xml:space="preserve"> garantire il mantenimento del taglio del cuneo fiscale per i redditi medio-bassi è </w:t>
      </w:r>
      <w:proofErr w:type="gramStart"/>
      <w:r>
        <w:rPr>
          <w:rFonts w:eastAsia="Times New Roman" w:cstheme="minorHAnsi"/>
          <w:color w:val="231919"/>
          <w:kern w:val="0"/>
          <w:lang w:eastAsia="it-IT"/>
          <w14:ligatures w14:val="none"/>
        </w:rPr>
        <w:t>una  delle</w:t>
      </w:r>
      <w:proofErr w:type="gramEnd"/>
      <w:r>
        <w:rPr>
          <w:rFonts w:eastAsia="Times New Roman" w:cstheme="minorHAnsi"/>
          <w:color w:val="231919"/>
          <w:kern w:val="0"/>
          <w:lang w:eastAsia="it-IT"/>
          <w14:ligatures w14:val="none"/>
        </w:rPr>
        <w:t xml:space="preserve"> priorità, ma non mancano altri elementi decisivi. Come annunciato ripetutamente dal Governo</w:t>
      </w:r>
      <w:r w:rsidR="001C1D68">
        <w:rPr>
          <w:rFonts w:eastAsia="Times New Roman" w:cstheme="minorHAnsi"/>
          <w:color w:val="231919"/>
          <w:kern w:val="0"/>
          <w:lang w:eastAsia="it-IT"/>
          <w14:ligatures w14:val="none"/>
        </w:rPr>
        <w:t xml:space="preserve">, uno dei temi importanti </w:t>
      </w:r>
      <w:proofErr w:type="gramStart"/>
      <w:r w:rsidR="001C1D68">
        <w:rPr>
          <w:rFonts w:eastAsia="Times New Roman" w:cstheme="minorHAnsi"/>
          <w:color w:val="231919"/>
          <w:kern w:val="0"/>
          <w:lang w:eastAsia="it-IT"/>
          <w14:ligatures w14:val="none"/>
        </w:rPr>
        <w:t>è  la</w:t>
      </w:r>
      <w:proofErr w:type="gramEnd"/>
      <w:r w:rsidR="001C1D68">
        <w:rPr>
          <w:rFonts w:eastAsia="Times New Roman" w:cstheme="minorHAnsi"/>
          <w:color w:val="231919"/>
          <w:kern w:val="0"/>
          <w:lang w:eastAsia="it-IT"/>
          <w14:ligatures w14:val="none"/>
        </w:rPr>
        <w:t xml:space="preserve"> </w:t>
      </w:r>
      <w:r w:rsidR="001C1D68" w:rsidRPr="0005575B">
        <w:rPr>
          <w:rFonts w:eastAsia="Times New Roman" w:cstheme="minorHAnsi"/>
          <w:b/>
          <w:bCs/>
          <w:color w:val="231919"/>
          <w:kern w:val="0"/>
          <w:lang w:eastAsia="it-IT"/>
          <w14:ligatures w14:val="none"/>
        </w:rPr>
        <w:t xml:space="preserve">natalità </w:t>
      </w:r>
      <w:r w:rsidR="001C1D68">
        <w:rPr>
          <w:rFonts w:eastAsia="Times New Roman" w:cstheme="minorHAnsi"/>
          <w:color w:val="231919"/>
          <w:kern w:val="0"/>
          <w:lang w:eastAsia="it-IT"/>
          <w14:ligatures w14:val="none"/>
        </w:rPr>
        <w:t xml:space="preserve">che entra  nei programmi politici tradizionali  dei partiti che compongono il destra- centro. Si valuteranno azioni a favore alla </w:t>
      </w:r>
      <w:r w:rsidR="001C1D68" w:rsidRPr="0005575B">
        <w:rPr>
          <w:rFonts w:eastAsia="Times New Roman" w:cstheme="minorHAnsi"/>
          <w:b/>
          <w:bCs/>
          <w:color w:val="231919"/>
          <w:kern w:val="0"/>
          <w:lang w:eastAsia="it-IT"/>
          <w14:ligatures w14:val="none"/>
        </w:rPr>
        <w:t>genitorialità ed occupazione femminile</w:t>
      </w:r>
      <w:r w:rsidR="001C1D68">
        <w:rPr>
          <w:rFonts w:eastAsia="Times New Roman" w:cstheme="minorHAnsi"/>
          <w:color w:val="231919"/>
          <w:kern w:val="0"/>
          <w:lang w:eastAsia="it-IT"/>
          <w14:ligatures w14:val="none"/>
        </w:rPr>
        <w:t xml:space="preserve">. Il Governo sta prendendo in considerazione </w:t>
      </w:r>
      <w:proofErr w:type="gramStart"/>
      <w:r w:rsidR="001C1D68">
        <w:rPr>
          <w:rFonts w:eastAsia="Times New Roman" w:cstheme="minorHAnsi"/>
          <w:color w:val="231919"/>
          <w:kern w:val="0"/>
          <w:lang w:eastAsia="it-IT"/>
          <w14:ligatures w14:val="none"/>
        </w:rPr>
        <w:t>misure  in</w:t>
      </w:r>
      <w:proofErr w:type="gramEnd"/>
      <w:r w:rsidR="001C1D68">
        <w:rPr>
          <w:rFonts w:eastAsia="Times New Roman" w:cstheme="minorHAnsi"/>
          <w:color w:val="231919"/>
          <w:kern w:val="0"/>
          <w:lang w:eastAsia="it-IT"/>
          <w14:ligatures w14:val="none"/>
        </w:rPr>
        <w:t xml:space="preserve"> sostegno a</w:t>
      </w:r>
      <w:r w:rsidR="002E1C65">
        <w:rPr>
          <w:rFonts w:eastAsia="Times New Roman" w:cstheme="minorHAnsi"/>
          <w:color w:val="231919"/>
          <w:kern w:val="0"/>
          <w:lang w:eastAsia="it-IT"/>
          <w14:ligatures w14:val="none"/>
        </w:rPr>
        <w:t>lle</w:t>
      </w:r>
      <w:r w:rsidR="001C1D68">
        <w:rPr>
          <w:rFonts w:eastAsia="Times New Roman" w:cstheme="minorHAnsi"/>
          <w:color w:val="231919"/>
          <w:kern w:val="0"/>
          <w:lang w:eastAsia="it-IT"/>
          <w14:ligatures w14:val="none"/>
        </w:rPr>
        <w:t xml:space="preserve"> famiglie con almeno tre figli. Potrebbe essere introdotto il concetto </w:t>
      </w:r>
      <w:r w:rsidR="001C1D68">
        <w:rPr>
          <w:rFonts w:eastAsia="Times New Roman" w:cstheme="minorHAnsi"/>
          <w:color w:val="231919"/>
          <w:kern w:val="0"/>
          <w:lang w:eastAsia="it-IT"/>
          <w14:ligatures w14:val="none"/>
        </w:rPr>
        <w:lastRenderedPageBreak/>
        <w:t xml:space="preserve">di </w:t>
      </w:r>
      <w:r w:rsidR="001C1D68" w:rsidRPr="0005575B">
        <w:rPr>
          <w:rFonts w:eastAsia="Times New Roman" w:cstheme="minorHAnsi"/>
          <w:b/>
          <w:bCs/>
          <w:color w:val="231919"/>
          <w:kern w:val="0"/>
          <w:lang w:eastAsia="it-IT"/>
          <w14:ligatures w14:val="none"/>
        </w:rPr>
        <w:t>Quoziente familiare</w:t>
      </w:r>
      <w:r w:rsidR="001C1D68">
        <w:rPr>
          <w:rFonts w:eastAsia="Times New Roman" w:cstheme="minorHAnsi"/>
          <w:color w:val="231919"/>
          <w:kern w:val="0"/>
          <w:lang w:eastAsia="it-IT"/>
          <w14:ligatures w14:val="none"/>
        </w:rPr>
        <w:t xml:space="preserve"> che p</w:t>
      </w:r>
      <w:r w:rsidR="00AA001B">
        <w:rPr>
          <w:rFonts w:eastAsia="Times New Roman" w:cstheme="minorHAnsi"/>
          <w:color w:val="231919"/>
          <w:kern w:val="0"/>
          <w:lang w:eastAsia="it-IT"/>
          <w14:ligatures w14:val="none"/>
        </w:rPr>
        <w:t>otrebbe sostituire</w:t>
      </w:r>
      <w:r w:rsidR="00531C96">
        <w:rPr>
          <w:rFonts w:eastAsia="Times New Roman" w:cstheme="minorHAnsi"/>
          <w:color w:val="231919"/>
          <w:kern w:val="0"/>
          <w:lang w:eastAsia="it-IT"/>
          <w14:ligatures w14:val="none"/>
        </w:rPr>
        <w:t xml:space="preserve"> </w:t>
      </w:r>
      <w:r w:rsidR="001C1D68">
        <w:rPr>
          <w:rFonts w:eastAsia="Times New Roman" w:cstheme="minorHAnsi"/>
          <w:color w:val="231919"/>
          <w:kern w:val="0"/>
          <w:lang w:eastAsia="it-IT"/>
          <w14:ligatures w14:val="none"/>
        </w:rPr>
        <w:t xml:space="preserve">la ISEE sulla base della quale vengono </w:t>
      </w:r>
      <w:proofErr w:type="gramStart"/>
      <w:r w:rsidR="001C1D68">
        <w:rPr>
          <w:rFonts w:eastAsia="Times New Roman" w:cstheme="minorHAnsi"/>
          <w:color w:val="231919"/>
          <w:kern w:val="0"/>
          <w:lang w:eastAsia="it-IT"/>
          <w14:ligatures w14:val="none"/>
        </w:rPr>
        <w:t>definite  varie</w:t>
      </w:r>
      <w:proofErr w:type="gramEnd"/>
      <w:r w:rsidR="001C1D68">
        <w:rPr>
          <w:rFonts w:eastAsia="Times New Roman" w:cstheme="minorHAnsi"/>
          <w:color w:val="231919"/>
          <w:kern w:val="0"/>
          <w:lang w:eastAsia="it-IT"/>
          <w14:ligatures w14:val="none"/>
        </w:rPr>
        <w:t xml:space="preserve"> prestazioni sociali ed assistenziali.</w:t>
      </w:r>
      <w:r w:rsidR="00AA001B">
        <w:rPr>
          <w:rFonts w:eastAsia="Times New Roman" w:cstheme="minorHAnsi"/>
          <w:color w:val="231919"/>
          <w:kern w:val="0"/>
          <w:lang w:eastAsia="it-IT"/>
          <w14:ligatures w14:val="none"/>
        </w:rPr>
        <w:t xml:space="preserve"> Previste agevolazioni che assumono </w:t>
      </w:r>
      <w:proofErr w:type="gramStart"/>
      <w:r w:rsidR="00AA001B">
        <w:rPr>
          <w:rFonts w:eastAsia="Times New Roman" w:cstheme="minorHAnsi"/>
          <w:color w:val="231919"/>
          <w:kern w:val="0"/>
          <w:lang w:eastAsia="it-IT"/>
          <w14:ligatures w14:val="none"/>
        </w:rPr>
        <w:t>donne  a</w:t>
      </w:r>
      <w:proofErr w:type="gramEnd"/>
      <w:r w:rsidR="00AA001B">
        <w:rPr>
          <w:rFonts w:eastAsia="Times New Roman" w:cstheme="minorHAnsi"/>
          <w:color w:val="231919"/>
          <w:kern w:val="0"/>
          <w:lang w:eastAsia="it-IT"/>
          <w14:ligatures w14:val="none"/>
        </w:rPr>
        <w:t xml:space="preserve"> favore  del sostegno dell’occupazione femminile.</w:t>
      </w:r>
      <w:r w:rsidR="0005575B">
        <w:rPr>
          <w:rFonts w:eastAsia="Times New Roman" w:cstheme="minorHAnsi"/>
          <w:color w:val="231919"/>
          <w:kern w:val="0"/>
          <w:lang w:eastAsia="it-IT"/>
          <w14:ligatures w14:val="none"/>
        </w:rPr>
        <w:t xml:space="preserve"> </w:t>
      </w:r>
      <w:r w:rsidR="00AA001B">
        <w:rPr>
          <w:rFonts w:eastAsia="Times New Roman" w:cstheme="minorHAnsi"/>
          <w:color w:val="231919"/>
          <w:kern w:val="0"/>
          <w:lang w:eastAsia="it-IT"/>
          <w14:ligatures w14:val="none"/>
        </w:rPr>
        <w:t xml:space="preserve">Un altro spetto centrale è costituito dalle </w:t>
      </w:r>
      <w:r w:rsidR="00AA001B" w:rsidRPr="0005575B">
        <w:rPr>
          <w:rFonts w:eastAsia="Times New Roman" w:cstheme="minorHAnsi"/>
          <w:b/>
          <w:bCs/>
          <w:color w:val="231919"/>
          <w:kern w:val="0"/>
          <w:lang w:eastAsia="it-IT"/>
          <w14:ligatures w14:val="none"/>
        </w:rPr>
        <w:t>Pensioni.</w:t>
      </w:r>
      <w:r w:rsidR="00AA001B">
        <w:rPr>
          <w:rFonts w:eastAsia="Times New Roman" w:cstheme="minorHAnsi"/>
          <w:color w:val="231919"/>
          <w:kern w:val="0"/>
          <w:lang w:eastAsia="it-IT"/>
          <w14:ligatures w14:val="none"/>
        </w:rPr>
        <w:t xml:space="preserve"> Contrariamente a </w:t>
      </w:r>
      <w:proofErr w:type="gramStart"/>
      <w:r w:rsidR="00AA001B">
        <w:rPr>
          <w:rFonts w:eastAsia="Times New Roman" w:cstheme="minorHAnsi"/>
          <w:color w:val="231919"/>
          <w:kern w:val="0"/>
          <w:lang w:eastAsia="it-IT"/>
          <w14:ligatures w14:val="none"/>
        </w:rPr>
        <w:t xml:space="preserve">quanto  </w:t>
      </w:r>
      <w:r w:rsidR="002E1C65">
        <w:rPr>
          <w:rFonts w:eastAsia="Times New Roman" w:cstheme="minorHAnsi"/>
          <w:color w:val="231919"/>
          <w:kern w:val="0"/>
          <w:lang w:eastAsia="it-IT"/>
          <w14:ligatures w14:val="none"/>
        </w:rPr>
        <w:t>ipotizzato</w:t>
      </w:r>
      <w:proofErr w:type="gramEnd"/>
      <w:r w:rsidR="00AA001B">
        <w:rPr>
          <w:rFonts w:eastAsia="Times New Roman" w:cstheme="minorHAnsi"/>
          <w:color w:val="231919"/>
          <w:kern w:val="0"/>
          <w:lang w:eastAsia="it-IT"/>
          <w14:ligatures w14:val="none"/>
        </w:rPr>
        <w:t xml:space="preserve"> in campagna elettorale dagli esponenti dei partiti oggi al governo, non dovrebbe esserci il superamento della Legge Fornero, tanto è vero che  “ </w:t>
      </w:r>
      <w:r w:rsidR="00096452">
        <w:rPr>
          <w:rFonts w:eastAsia="Times New Roman" w:cstheme="minorHAnsi"/>
          <w:color w:val="231919"/>
          <w:kern w:val="0"/>
          <w:lang w:eastAsia="it-IT"/>
          <w14:ligatures w14:val="none"/>
        </w:rPr>
        <w:t>Q</w:t>
      </w:r>
      <w:r w:rsidR="00AA001B">
        <w:rPr>
          <w:rFonts w:eastAsia="Times New Roman" w:cstheme="minorHAnsi"/>
          <w:color w:val="231919"/>
          <w:kern w:val="0"/>
          <w:lang w:eastAsia="it-IT"/>
          <w14:ligatures w14:val="none"/>
        </w:rPr>
        <w:t xml:space="preserve">uota 41”  è stata  congelata </w:t>
      </w:r>
      <w:r w:rsidR="00096452">
        <w:rPr>
          <w:rFonts w:eastAsia="Times New Roman" w:cstheme="minorHAnsi"/>
          <w:color w:val="231919"/>
          <w:kern w:val="0"/>
          <w:lang w:eastAsia="it-IT"/>
          <w14:ligatures w14:val="none"/>
        </w:rPr>
        <w:t>dall</w:t>
      </w:r>
      <w:r w:rsidR="00AA001B">
        <w:rPr>
          <w:rFonts w:eastAsia="Times New Roman" w:cstheme="minorHAnsi"/>
          <w:color w:val="231919"/>
          <w:kern w:val="0"/>
          <w:lang w:eastAsia="it-IT"/>
          <w14:ligatures w14:val="none"/>
        </w:rPr>
        <w:t>’ultimo consiglio dei ministri.</w:t>
      </w:r>
      <w:r w:rsidR="00096452">
        <w:rPr>
          <w:rFonts w:eastAsia="Times New Roman" w:cstheme="minorHAnsi"/>
          <w:color w:val="231919"/>
          <w:kern w:val="0"/>
          <w:lang w:eastAsia="it-IT"/>
          <w14:ligatures w14:val="none"/>
        </w:rPr>
        <w:t xml:space="preserve"> Ad oggi </w:t>
      </w:r>
      <w:proofErr w:type="gramStart"/>
      <w:r w:rsidR="00096452">
        <w:rPr>
          <w:rFonts w:eastAsia="Times New Roman" w:cstheme="minorHAnsi"/>
          <w:color w:val="231919"/>
          <w:kern w:val="0"/>
          <w:lang w:eastAsia="it-IT"/>
          <w14:ligatures w14:val="none"/>
        </w:rPr>
        <w:t>l’Esecutivo</w:t>
      </w:r>
      <w:r w:rsidR="00780812">
        <w:rPr>
          <w:rFonts w:eastAsia="Times New Roman" w:cstheme="minorHAnsi"/>
          <w:color w:val="231919"/>
          <w:kern w:val="0"/>
          <w:lang w:eastAsia="it-IT"/>
          <w14:ligatures w14:val="none"/>
        </w:rPr>
        <w:t xml:space="preserve"> </w:t>
      </w:r>
      <w:r w:rsidR="00096452">
        <w:rPr>
          <w:rFonts w:eastAsia="Times New Roman" w:cstheme="minorHAnsi"/>
          <w:color w:val="231919"/>
          <w:kern w:val="0"/>
          <w:lang w:eastAsia="it-IT"/>
          <w14:ligatures w14:val="none"/>
        </w:rPr>
        <w:t xml:space="preserve"> ipotizza</w:t>
      </w:r>
      <w:proofErr w:type="gramEnd"/>
      <w:r w:rsidR="00096452">
        <w:rPr>
          <w:rFonts w:eastAsia="Times New Roman" w:cstheme="minorHAnsi"/>
          <w:color w:val="231919"/>
          <w:kern w:val="0"/>
          <w:lang w:eastAsia="it-IT"/>
          <w14:ligatures w14:val="none"/>
        </w:rPr>
        <w:t xml:space="preserve"> un tasso  di rivalutazione tra  il 5 ed il 6%  ed il sistema a percentuale ridotta , oltre le 4 volte </w:t>
      </w:r>
      <w:r w:rsidR="0094098A">
        <w:rPr>
          <w:rFonts w:eastAsia="Times New Roman" w:cstheme="minorHAnsi"/>
          <w:color w:val="231919"/>
          <w:kern w:val="0"/>
          <w:lang w:eastAsia="it-IT"/>
          <w14:ligatures w14:val="none"/>
        </w:rPr>
        <w:t>il</w:t>
      </w:r>
      <w:r w:rsidR="00096452">
        <w:rPr>
          <w:rFonts w:eastAsia="Times New Roman" w:cstheme="minorHAnsi"/>
          <w:color w:val="231919"/>
          <w:kern w:val="0"/>
          <w:lang w:eastAsia="it-IT"/>
          <w14:ligatures w14:val="none"/>
        </w:rPr>
        <w:t xml:space="preserve"> minimo</w:t>
      </w:r>
      <w:r w:rsidR="0094098A">
        <w:rPr>
          <w:rFonts w:eastAsia="Times New Roman" w:cstheme="minorHAnsi"/>
          <w:color w:val="231919"/>
          <w:kern w:val="0"/>
          <w:lang w:eastAsia="it-IT"/>
          <w14:ligatures w14:val="none"/>
        </w:rPr>
        <w:t>,</w:t>
      </w:r>
      <w:r w:rsidR="00096452">
        <w:rPr>
          <w:rFonts w:eastAsia="Times New Roman" w:cstheme="minorHAnsi"/>
          <w:color w:val="231919"/>
          <w:kern w:val="0"/>
          <w:lang w:eastAsia="it-IT"/>
          <w14:ligatures w14:val="none"/>
        </w:rPr>
        <w:t xml:space="preserve"> per contenere la spesa sociale. Prevista la </w:t>
      </w:r>
      <w:r w:rsidR="00096452" w:rsidRPr="0005575B">
        <w:rPr>
          <w:rFonts w:eastAsia="Times New Roman" w:cstheme="minorHAnsi"/>
          <w:b/>
          <w:bCs/>
          <w:color w:val="231919"/>
          <w:kern w:val="0"/>
          <w:lang w:eastAsia="it-IT"/>
          <w14:ligatures w14:val="none"/>
        </w:rPr>
        <w:t xml:space="preserve">proroga </w:t>
      </w:r>
      <w:proofErr w:type="gramStart"/>
      <w:r w:rsidR="00096452" w:rsidRPr="0005575B">
        <w:rPr>
          <w:rFonts w:eastAsia="Times New Roman" w:cstheme="minorHAnsi"/>
          <w:b/>
          <w:bCs/>
          <w:color w:val="231919"/>
          <w:kern w:val="0"/>
          <w:lang w:eastAsia="it-IT"/>
          <w14:ligatures w14:val="none"/>
        </w:rPr>
        <w:t>dell’ A</w:t>
      </w:r>
      <w:r w:rsidR="0094098A" w:rsidRPr="0005575B">
        <w:rPr>
          <w:rFonts w:eastAsia="Times New Roman" w:cstheme="minorHAnsi"/>
          <w:b/>
          <w:bCs/>
          <w:color w:val="231919"/>
          <w:kern w:val="0"/>
          <w:lang w:eastAsia="it-IT"/>
          <w14:ligatures w14:val="none"/>
        </w:rPr>
        <w:t>pe</w:t>
      </w:r>
      <w:proofErr w:type="gramEnd"/>
      <w:r w:rsidR="0094098A" w:rsidRPr="0005575B">
        <w:rPr>
          <w:rFonts w:eastAsia="Times New Roman" w:cstheme="minorHAnsi"/>
          <w:b/>
          <w:bCs/>
          <w:color w:val="231919"/>
          <w:kern w:val="0"/>
          <w:lang w:eastAsia="it-IT"/>
          <w14:ligatures w14:val="none"/>
        </w:rPr>
        <w:t xml:space="preserve"> </w:t>
      </w:r>
      <w:r w:rsidR="00096452" w:rsidRPr="0005575B">
        <w:rPr>
          <w:rFonts w:eastAsia="Times New Roman" w:cstheme="minorHAnsi"/>
          <w:b/>
          <w:bCs/>
          <w:color w:val="231919"/>
          <w:kern w:val="0"/>
          <w:lang w:eastAsia="it-IT"/>
          <w14:ligatures w14:val="none"/>
        </w:rPr>
        <w:t xml:space="preserve"> </w:t>
      </w:r>
      <w:r w:rsidR="0094098A" w:rsidRPr="0005575B">
        <w:rPr>
          <w:rFonts w:eastAsia="Times New Roman" w:cstheme="minorHAnsi"/>
          <w:b/>
          <w:bCs/>
          <w:color w:val="231919"/>
          <w:kern w:val="0"/>
          <w:lang w:eastAsia="it-IT"/>
          <w14:ligatures w14:val="none"/>
        </w:rPr>
        <w:t>S</w:t>
      </w:r>
      <w:r w:rsidR="00096452" w:rsidRPr="0005575B">
        <w:rPr>
          <w:rFonts w:eastAsia="Times New Roman" w:cstheme="minorHAnsi"/>
          <w:b/>
          <w:bCs/>
          <w:color w:val="231919"/>
          <w:kern w:val="0"/>
          <w:lang w:eastAsia="it-IT"/>
          <w14:ligatures w14:val="none"/>
        </w:rPr>
        <w:t xml:space="preserve">ociale </w:t>
      </w:r>
      <w:r w:rsidR="0094098A" w:rsidRPr="0005575B">
        <w:rPr>
          <w:rFonts w:eastAsia="Times New Roman" w:cstheme="minorHAnsi"/>
          <w:b/>
          <w:bCs/>
          <w:color w:val="231919"/>
          <w:kern w:val="0"/>
          <w:lang w:eastAsia="it-IT"/>
          <w14:ligatures w14:val="none"/>
        </w:rPr>
        <w:t>e un aumento della pensione minima per i pensionati over 75</w:t>
      </w:r>
      <w:r w:rsidR="0094098A" w:rsidRPr="0094098A">
        <w:rPr>
          <w:rFonts w:eastAsia="Times New Roman" w:cstheme="minorHAnsi"/>
          <w:color w:val="231919"/>
          <w:kern w:val="0"/>
          <w:lang w:eastAsia="it-IT"/>
          <w14:ligatures w14:val="none"/>
        </w:rPr>
        <w:t>, come per il 2023. Risultano, invece, incerte le misure legate alla Quota 103 e Opzione Donna.</w:t>
      </w:r>
      <w:r w:rsidR="002E1C65">
        <w:rPr>
          <w:rFonts w:eastAsia="Times New Roman" w:cstheme="minorHAnsi"/>
          <w:color w:val="231919"/>
          <w:kern w:val="0"/>
          <w:lang w:eastAsia="it-IT"/>
          <w14:ligatures w14:val="none"/>
        </w:rPr>
        <w:t xml:space="preserve"> </w:t>
      </w:r>
      <w:r w:rsidR="0094098A" w:rsidRPr="0094098A">
        <w:rPr>
          <w:rFonts w:eastAsia="Times New Roman" w:cstheme="minorHAnsi"/>
          <w:color w:val="231919"/>
          <w:kern w:val="0"/>
          <w:lang w:eastAsia="it-IT"/>
          <w14:ligatures w14:val="none"/>
        </w:rPr>
        <w:t>È poi si dovrà lavorare sul </w:t>
      </w:r>
      <w:r w:rsidR="0094098A" w:rsidRPr="0094098A">
        <w:rPr>
          <w:rFonts w:eastAsia="Times New Roman" w:cstheme="minorHAnsi"/>
          <w:b/>
          <w:bCs/>
          <w:color w:val="231919"/>
          <w:kern w:val="0"/>
          <w:lang w:eastAsia="it-IT"/>
          <w14:ligatures w14:val="none"/>
        </w:rPr>
        <w:t>rinnovo del contratto dei dipendenti pubblici</w:t>
      </w:r>
      <w:r w:rsidR="0094098A" w:rsidRPr="0094098A">
        <w:rPr>
          <w:rFonts w:eastAsia="Times New Roman" w:cstheme="minorHAnsi"/>
          <w:color w:val="231919"/>
          <w:kern w:val="0"/>
          <w:lang w:eastAsia="it-IT"/>
          <w14:ligatures w14:val="none"/>
        </w:rPr>
        <w:t>, ormai fermo dal 31 dic</w:t>
      </w:r>
      <w:r w:rsidR="00745715">
        <w:rPr>
          <w:rFonts w:eastAsia="Times New Roman" w:cstheme="minorHAnsi"/>
          <w:color w:val="231919"/>
          <w:kern w:val="0"/>
          <w:lang w:eastAsia="it-IT"/>
          <w14:ligatures w14:val="none"/>
        </w:rPr>
        <w:t>embre 2021</w:t>
      </w:r>
      <w:r w:rsidR="0094098A" w:rsidRPr="0094098A">
        <w:rPr>
          <w:rFonts w:eastAsia="Times New Roman" w:cstheme="minorHAnsi"/>
          <w:color w:val="231919"/>
          <w:kern w:val="0"/>
          <w:lang w:eastAsia="it-IT"/>
          <w14:ligatures w14:val="none"/>
        </w:rPr>
        <w:t xml:space="preserve">. </w:t>
      </w:r>
      <w:r w:rsidR="002E1C65">
        <w:rPr>
          <w:rFonts w:eastAsia="Times New Roman" w:cstheme="minorHAnsi"/>
          <w:color w:val="231919"/>
          <w:kern w:val="0"/>
          <w:lang w:eastAsia="it-IT"/>
          <w14:ligatures w14:val="none"/>
        </w:rPr>
        <w:t xml:space="preserve">Anche in questo caso si </w:t>
      </w:r>
      <w:proofErr w:type="gramStart"/>
      <w:r w:rsidR="002E1C65">
        <w:rPr>
          <w:rFonts w:eastAsia="Times New Roman" w:cstheme="minorHAnsi"/>
          <w:color w:val="231919"/>
          <w:kern w:val="0"/>
          <w:lang w:eastAsia="it-IT"/>
          <w14:ligatures w14:val="none"/>
        </w:rPr>
        <w:t xml:space="preserve">ripropone </w:t>
      </w:r>
      <w:r w:rsidR="0094098A" w:rsidRPr="0094098A">
        <w:rPr>
          <w:rFonts w:eastAsia="Times New Roman" w:cstheme="minorHAnsi"/>
          <w:color w:val="231919"/>
          <w:kern w:val="0"/>
          <w:lang w:eastAsia="it-IT"/>
          <w14:ligatures w14:val="none"/>
        </w:rPr>
        <w:t xml:space="preserve"> nuovamente</w:t>
      </w:r>
      <w:proofErr w:type="gramEnd"/>
      <w:r w:rsidR="0094098A" w:rsidRPr="0094098A">
        <w:rPr>
          <w:rFonts w:eastAsia="Times New Roman" w:cstheme="minorHAnsi"/>
          <w:color w:val="231919"/>
          <w:kern w:val="0"/>
          <w:lang w:eastAsia="it-IT"/>
          <w14:ligatures w14:val="none"/>
        </w:rPr>
        <w:t xml:space="preserve"> </w:t>
      </w:r>
      <w:r w:rsidR="00531C96">
        <w:rPr>
          <w:rFonts w:eastAsia="Times New Roman" w:cstheme="minorHAnsi"/>
          <w:color w:val="231919"/>
          <w:kern w:val="0"/>
          <w:lang w:eastAsia="it-IT"/>
          <w14:ligatures w14:val="none"/>
        </w:rPr>
        <w:t>il problema delle</w:t>
      </w:r>
      <w:r w:rsidR="0094098A" w:rsidRPr="002E1C65">
        <w:rPr>
          <w:rFonts w:eastAsia="Times New Roman" w:cstheme="minorHAnsi"/>
          <w:color w:val="231919"/>
          <w:kern w:val="0"/>
          <w:lang w:eastAsia="it-IT"/>
          <w14:ligatures w14:val="none"/>
        </w:rPr>
        <w:t xml:space="preserve"> coperture finanziarie. Sono</w:t>
      </w:r>
      <w:r w:rsidR="0094098A" w:rsidRPr="0094098A">
        <w:rPr>
          <w:rFonts w:eastAsia="Times New Roman" w:cstheme="minorHAnsi"/>
          <w:color w:val="231919"/>
          <w:kern w:val="0"/>
          <w:lang w:eastAsia="it-IT"/>
          <w14:ligatures w14:val="none"/>
        </w:rPr>
        <w:t xml:space="preserve"> richiesti, infatti, tra i 2 e i 4 miliardi necessari per assicurare un aumento di stipendio in linea con l’inflazione.</w:t>
      </w:r>
      <w:r w:rsidR="002E1C65">
        <w:rPr>
          <w:rFonts w:eastAsia="Times New Roman" w:cstheme="minorHAnsi"/>
          <w:color w:val="231919"/>
          <w:kern w:val="0"/>
          <w:lang w:eastAsia="it-IT"/>
          <w14:ligatures w14:val="none"/>
        </w:rPr>
        <w:t xml:space="preserve"> Non ultime restano le esigenze</w:t>
      </w:r>
      <w:r w:rsidR="006B138F">
        <w:rPr>
          <w:rFonts w:eastAsia="Times New Roman" w:cstheme="minorHAnsi"/>
          <w:color w:val="231919"/>
          <w:kern w:val="0"/>
          <w:lang w:eastAsia="it-IT"/>
          <w14:ligatures w14:val="none"/>
        </w:rPr>
        <w:t xml:space="preserve"> del Sistema </w:t>
      </w:r>
      <w:proofErr w:type="gramStart"/>
      <w:r w:rsidR="006B138F">
        <w:rPr>
          <w:rFonts w:eastAsia="Times New Roman" w:cstheme="minorHAnsi"/>
          <w:color w:val="231919"/>
          <w:kern w:val="0"/>
          <w:lang w:eastAsia="it-IT"/>
          <w14:ligatures w14:val="none"/>
        </w:rPr>
        <w:t>Sanitario</w:t>
      </w:r>
      <w:r w:rsidR="002E1C65">
        <w:rPr>
          <w:rFonts w:eastAsia="Times New Roman" w:cstheme="minorHAnsi"/>
          <w:color w:val="231919"/>
          <w:kern w:val="0"/>
          <w:lang w:eastAsia="it-IT"/>
          <w14:ligatures w14:val="none"/>
        </w:rPr>
        <w:t xml:space="preserve"> </w:t>
      </w:r>
      <w:r w:rsidR="006B138F">
        <w:rPr>
          <w:rFonts w:eastAsia="Times New Roman" w:cstheme="minorHAnsi"/>
          <w:color w:val="231919"/>
          <w:kern w:val="0"/>
          <w:lang w:eastAsia="it-IT"/>
          <w14:ligatures w14:val="none"/>
        </w:rPr>
        <w:t>:</w:t>
      </w:r>
      <w:proofErr w:type="gramEnd"/>
      <w:r w:rsidR="0094098A" w:rsidRPr="0094098A">
        <w:rPr>
          <w:rFonts w:eastAsia="Times New Roman" w:cstheme="minorHAnsi"/>
          <w:color w:val="231919"/>
          <w:kern w:val="0"/>
          <w:lang w:eastAsia="it-IT"/>
          <w14:ligatures w14:val="none"/>
        </w:rPr>
        <w:t xml:space="preserve"> </w:t>
      </w:r>
      <w:r w:rsidR="006B138F">
        <w:rPr>
          <w:rFonts w:eastAsia="Times New Roman" w:cstheme="minorHAnsi"/>
          <w:color w:val="231919"/>
          <w:kern w:val="0"/>
          <w:lang w:eastAsia="it-IT"/>
          <w14:ligatures w14:val="none"/>
        </w:rPr>
        <w:t xml:space="preserve">attesi </w:t>
      </w:r>
      <w:r w:rsidR="0094098A" w:rsidRPr="0094098A">
        <w:rPr>
          <w:rFonts w:eastAsia="Times New Roman" w:cstheme="minorHAnsi"/>
          <w:color w:val="231919"/>
          <w:kern w:val="0"/>
          <w:lang w:eastAsia="it-IT"/>
          <w14:ligatures w14:val="none"/>
        </w:rPr>
        <w:t xml:space="preserve"> almeno 4 miliardi di euro di rifinanziamenti, come dichiarato dal ministro della Salute</w:t>
      </w:r>
      <w:r w:rsidR="006B138F">
        <w:rPr>
          <w:rFonts w:eastAsia="Times New Roman" w:cstheme="minorHAnsi"/>
          <w:color w:val="231919"/>
          <w:kern w:val="0"/>
          <w:lang w:eastAsia="it-IT"/>
          <w14:ligatures w14:val="none"/>
        </w:rPr>
        <w:t xml:space="preserve"> Schillaci.</w:t>
      </w:r>
    </w:p>
    <w:p w14:paraId="4EBBAE4B" w14:textId="6D9DCF8E" w:rsidR="00800226" w:rsidRPr="00EC484C" w:rsidRDefault="006B138F" w:rsidP="00ED72EE">
      <w:pPr>
        <w:shd w:val="clear" w:color="auto" w:fill="FFFFFF"/>
        <w:spacing w:after="144" w:line="480" w:lineRule="auto"/>
        <w:textAlignment w:val="baseline"/>
        <w:rPr>
          <w:rFonts w:eastAsia="Times New Roman" w:cstheme="minorHAnsi"/>
          <w:color w:val="2C2E35"/>
          <w:kern w:val="0"/>
          <w:lang w:eastAsia="it-IT"/>
          <w14:ligatures w14:val="none"/>
        </w:rPr>
      </w:pPr>
      <w:r>
        <w:rPr>
          <w:rFonts w:eastAsia="Times New Roman" w:cstheme="minorHAnsi"/>
          <w:color w:val="2C2E35"/>
          <w:kern w:val="0"/>
          <w:lang w:eastAsia="it-IT"/>
          <w14:ligatures w14:val="none"/>
        </w:rPr>
        <w:t>Ma S</w:t>
      </w:r>
      <w:r w:rsidR="00800226" w:rsidRPr="00EC484C">
        <w:rPr>
          <w:rFonts w:eastAsia="Times New Roman" w:cstheme="minorHAnsi"/>
          <w:color w:val="2C2E35"/>
          <w:kern w:val="0"/>
          <w:lang w:eastAsia="it-IT"/>
          <w14:ligatures w14:val="none"/>
        </w:rPr>
        <w:t xml:space="preserve">ulla legge di bilancio di quest’anno e su </w:t>
      </w:r>
      <w:proofErr w:type="gramStart"/>
      <w:r w:rsidR="00800226" w:rsidRPr="00EC484C">
        <w:rPr>
          <w:rFonts w:eastAsia="Times New Roman" w:cstheme="minorHAnsi"/>
          <w:color w:val="2C2E35"/>
          <w:kern w:val="0"/>
          <w:lang w:eastAsia="it-IT"/>
          <w14:ligatures w14:val="none"/>
        </w:rPr>
        <w:t>que</w:t>
      </w:r>
      <w:r>
        <w:rPr>
          <w:rFonts w:eastAsia="Times New Roman" w:cstheme="minorHAnsi"/>
          <w:color w:val="2C2E35"/>
          <w:kern w:val="0"/>
          <w:lang w:eastAsia="it-IT"/>
          <w14:ligatures w14:val="none"/>
        </w:rPr>
        <w:t xml:space="preserve">lla </w:t>
      </w:r>
      <w:r w:rsidR="00800226" w:rsidRPr="00EC484C">
        <w:rPr>
          <w:rFonts w:eastAsia="Times New Roman" w:cstheme="minorHAnsi"/>
          <w:color w:val="2C2E35"/>
          <w:kern w:val="0"/>
          <w:lang w:eastAsia="it-IT"/>
          <w14:ligatures w14:val="none"/>
        </w:rPr>
        <w:t xml:space="preserve"> degli</w:t>
      </w:r>
      <w:proofErr w:type="gramEnd"/>
      <w:r w:rsidR="00800226" w:rsidRPr="00EC484C">
        <w:rPr>
          <w:rFonts w:eastAsia="Times New Roman" w:cstheme="minorHAnsi"/>
          <w:color w:val="2C2E35"/>
          <w:kern w:val="0"/>
          <w:lang w:eastAsia="it-IT"/>
          <w14:ligatures w14:val="none"/>
        </w:rPr>
        <w:t xml:space="preserve"> anni futuri </w:t>
      </w:r>
      <w:r w:rsidR="00800226" w:rsidRPr="00EC484C">
        <w:rPr>
          <w:rFonts w:eastAsia="Times New Roman" w:cstheme="minorHAnsi"/>
          <w:b/>
          <w:bCs/>
          <w:color w:val="2C2E35"/>
          <w:kern w:val="0"/>
          <w:lang w:eastAsia="it-IT"/>
          <w14:ligatures w14:val="none"/>
        </w:rPr>
        <w:t>peseranno in più altri macigni.</w:t>
      </w:r>
      <w:r w:rsidR="00800226" w:rsidRPr="00EC484C">
        <w:rPr>
          <w:rFonts w:eastAsia="Times New Roman" w:cstheme="minorHAnsi"/>
          <w:color w:val="2C2E35"/>
          <w:kern w:val="0"/>
          <w:lang w:eastAsia="it-IT"/>
          <w14:ligatures w14:val="none"/>
        </w:rPr>
        <w:br/>
      </w:r>
      <w:r w:rsidR="00800226" w:rsidRPr="00EC484C">
        <w:rPr>
          <w:rFonts w:eastAsia="Times New Roman" w:cstheme="minorHAnsi"/>
          <w:b/>
          <w:bCs/>
          <w:color w:val="2C2E35"/>
          <w:kern w:val="0"/>
          <w:lang w:eastAsia="it-IT"/>
          <w14:ligatures w14:val="none"/>
        </w:rPr>
        <w:t>Primo</w:t>
      </w:r>
      <w:r w:rsidR="00800226" w:rsidRPr="00EC484C">
        <w:rPr>
          <w:rFonts w:eastAsia="Times New Roman" w:cstheme="minorHAnsi"/>
          <w:color w:val="2C2E35"/>
          <w:kern w:val="0"/>
          <w:lang w:eastAsia="it-IT"/>
          <w14:ligatures w14:val="none"/>
        </w:rPr>
        <w:t>. L’azione della BCE che per combattere l’inflazione sta aumentando i </w:t>
      </w:r>
      <w:r w:rsidR="00800226" w:rsidRPr="00EC484C">
        <w:rPr>
          <w:rFonts w:eastAsia="Times New Roman" w:cstheme="minorHAnsi"/>
          <w:b/>
          <w:bCs/>
          <w:color w:val="2C2E35"/>
          <w:kern w:val="0"/>
          <w:lang w:eastAsia="it-IT"/>
          <w14:ligatures w14:val="none"/>
        </w:rPr>
        <w:t>tassi d’interesse</w:t>
      </w:r>
      <w:r w:rsidR="00800226" w:rsidRPr="00EC484C">
        <w:rPr>
          <w:rFonts w:eastAsia="Times New Roman" w:cstheme="minorHAnsi"/>
          <w:color w:val="2C2E35"/>
          <w:kern w:val="0"/>
          <w:lang w:eastAsia="it-IT"/>
          <w14:ligatures w14:val="none"/>
        </w:rPr>
        <w:t xml:space="preserve"> e sta vendendo titoli Btp (tecnicamente, Quantitative </w:t>
      </w:r>
      <w:proofErr w:type="spellStart"/>
      <w:r w:rsidR="00800226" w:rsidRPr="00EC484C">
        <w:rPr>
          <w:rFonts w:eastAsia="Times New Roman" w:cstheme="minorHAnsi"/>
          <w:color w:val="2C2E35"/>
          <w:kern w:val="0"/>
          <w:lang w:eastAsia="it-IT"/>
          <w14:ligatures w14:val="none"/>
        </w:rPr>
        <w:t>Tightening</w:t>
      </w:r>
      <w:proofErr w:type="spellEnd"/>
      <w:r w:rsidR="00800226" w:rsidRPr="00EC484C">
        <w:rPr>
          <w:rFonts w:eastAsia="Times New Roman" w:cstheme="minorHAnsi"/>
          <w:color w:val="2C2E35"/>
          <w:kern w:val="0"/>
          <w:lang w:eastAsia="it-IT"/>
          <w14:ligatures w14:val="none"/>
        </w:rPr>
        <w:t xml:space="preserve"> anziché Quantitative </w:t>
      </w:r>
      <w:proofErr w:type="spellStart"/>
      <w:r w:rsidR="00800226" w:rsidRPr="00EC484C">
        <w:rPr>
          <w:rFonts w:eastAsia="Times New Roman" w:cstheme="minorHAnsi"/>
          <w:color w:val="2C2E35"/>
          <w:kern w:val="0"/>
          <w:lang w:eastAsia="it-IT"/>
          <w14:ligatures w14:val="none"/>
        </w:rPr>
        <w:t>Easing</w:t>
      </w:r>
      <w:proofErr w:type="spellEnd"/>
      <w:r w:rsidR="00800226" w:rsidRPr="00EC484C">
        <w:rPr>
          <w:rFonts w:eastAsia="Times New Roman" w:cstheme="minorHAnsi"/>
          <w:color w:val="2C2E35"/>
          <w:kern w:val="0"/>
          <w:lang w:eastAsia="it-IT"/>
          <w14:ligatures w14:val="none"/>
        </w:rPr>
        <w:t>). Il risultato di tutto ciò sarà un costo del debito sempre più alto e la necessità di collocare nuovo debito pubblico agli investitori privati per valori mai raggiunti nel passato. Oltre 100 miliardi quest’anno, e quasi 150 miliardi l’anno prossimo.</w:t>
      </w:r>
      <w:r w:rsidR="00800226" w:rsidRPr="00EC484C">
        <w:rPr>
          <w:rFonts w:eastAsia="Times New Roman" w:cstheme="minorHAnsi"/>
          <w:color w:val="2C2E35"/>
          <w:kern w:val="0"/>
          <w:lang w:eastAsia="it-IT"/>
          <w14:ligatures w14:val="none"/>
        </w:rPr>
        <w:br/>
      </w:r>
      <w:r w:rsidR="00800226" w:rsidRPr="00EC484C">
        <w:rPr>
          <w:rFonts w:eastAsia="Times New Roman" w:cstheme="minorHAnsi"/>
          <w:b/>
          <w:bCs/>
          <w:color w:val="2C2E35"/>
          <w:kern w:val="0"/>
          <w:lang w:eastAsia="it-IT"/>
          <w14:ligatures w14:val="none"/>
        </w:rPr>
        <w:t>Secondo</w:t>
      </w:r>
      <w:r w:rsidR="00800226" w:rsidRPr="00EC484C">
        <w:rPr>
          <w:rFonts w:ascii="Times New Roman" w:eastAsia="Times New Roman" w:hAnsi="Times New Roman" w:cs="Times New Roman"/>
          <w:color w:val="2C2E35"/>
          <w:kern w:val="0"/>
          <w:sz w:val="33"/>
          <w:szCs w:val="33"/>
          <w:lang w:eastAsia="it-IT"/>
          <w14:ligatures w14:val="none"/>
        </w:rPr>
        <w:t xml:space="preserve">. </w:t>
      </w:r>
      <w:r w:rsidR="00800226" w:rsidRPr="00EC484C">
        <w:rPr>
          <w:rFonts w:eastAsia="Times New Roman" w:cstheme="minorHAnsi"/>
          <w:color w:val="2C2E35"/>
          <w:kern w:val="0"/>
          <w:lang w:eastAsia="it-IT"/>
          <w14:ligatures w14:val="none"/>
        </w:rPr>
        <w:t>I costi della “</w:t>
      </w:r>
      <w:r w:rsidR="00800226" w:rsidRPr="00EC484C">
        <w:rPr>
          <w:rFonts w:eastAsia="Times New Roman" w:cstheme="minorHAnsi"/>
          <w:b/>
          <w:bCs/>
          <w:color w:val="2C2E35"/>
          <w:kern w:val="0"/>
          <w:lang w:eastAsia="it-IT"/>
          <w14:ligatures w14:val="none"/>
        </w:rPr>
        <w:t>macchina dei serviz</w:t>
      </w:r>
      <w:r w:rsidR="00800226" w:rsidRPr="00EC484C">
        <w:rPr>
          <w:rFonts w:eastAsia="Times New Roman" w:cstheme="minorHAnsi"/>
          <w:color w:val="2C2E35"/>
          <w:kern w:val="0"/>
          <w:lang w:eastAsia="it-IT"/>
          <w14:ligatures w14:val="none"/>
        </w:rPr>
        <w:t xml:space="preserve">i”, cioè gli stipendi e acquisti della pubblica amministrazione. Nel 2017 sono stati circa 300 miliardi. Nel corso dell’ultima legislatura, caratterizzata da bassissima inflazione, sono lievitati a 353 miliardi. </w:t>
      </w:r>
      <w:r w:rsidR="00800226" w:rsidRPr="00800226">
        <w:rPr>
          <w:rFonts w:eastAsia="Times New Roman" w:cstheme="minorHAnsi"/>
          <w:color w:val="2C2E35"/>
          <w:kern w:val="0"/>
          <w:lang w:eastAsia="it-IT"/>
          <w14:ligatures w14:val="none"/>
        </w:rPr>
        <w:t xml:space="preserve">Questa spesa dovrà </w:t>
      </w:r>
      <w:proofErr w:type="gramStart"/>
      <w:r w:rsidR="00800226" w:rsidRPr="00800226">
        <w:rPr>
          <w:rFonts w:eastAsia="Times New Roman" w:cstheme="minorHAnsi"/>
          <w:color w:val="2C2E35"/>
          <w:kern w:val="0"/>
          <w:lang w:eastAsia="it-IT"/>
          <w14:ligatures w14:val="none"/>
        </w:rPr>
        <w:t>essere  ridotta</w:t>
      </w:r>
      <w:proofErr w:type="gramEnd"/>
      <w:r w:rsidR="00800226" w:rsidRPr="00800226">
        <w:rPr>
          <w:rFonts w:eastAsia="Times New Roman" w:cstheme="minorHAnsi"/>
          <w:color w:val="2C2E35"/>
          <w:kern w:val="0"/>
          <w:lang w:eastAsia="it-IT"/>
          <w14:ligatures w14:val="none"/>
        </w:rPr>
        <w:t xml:space="preserve"> nei conti del governo entro il 2025 , comportando </w:t>
      </w:r>
      <w:r w:rsidR="00800226" w:rsidRPr="00EC484C">
        <w:rPr>
          <w:rFonts w:eastAsia="Times New Roman" w:cstheme="minorHAnsi"/>
          <w:color w:val="2C2E35"/>
          <w:kern w:val="0"/>
          <w:lang w:eastAsia="it-IT"/>
          <w14:ligatures w14:val="none"/>
        </w:rPr>
        <w:t xml:space="preserve"> una contrazione reale del 15-20%</w:t>
      </w:r>
    </w:p>
    <w:p w14:paraId="19AD24BB" w14:textId="111A48F8" w:rsidR="00EC40C6" w:rsidRDefault="00EC40C6" w:rsidP="00ED72EE">
      <w:pPr>
        <w:spacing w:line="480" w:lineRule="auto"/>
        <w:jc w:val="both"/>
        <w:rPr>
          <w:rFonts w:eastAsia="Times New Roman" w:cstheme="minorHAnsi"/>
          <w:color w:val="231919"/>
          <w:kern w:val="0"/>
          <w:lang w:eastAsia="it-IT"/>
          <w14:ligatures w14:val="none"/>
        </w:rPr>
      </w:pPr>
    </w:p>
    <w:p w14:paraId="6A6736E7" w14:textId="77777777" w:rsidR="00EC484C" w:rsidRPr="00EC484C" w:rsidRDefault="00EC484C" w:rsidP="00EC484C">
      <w:pPr>
        <w:shd w:val="clear" w:color="auto" w:fill="FFFFFF"/>
        <w:spacing w:after="0" w:line="240" w:lineRule="auto"/>
        <w:textAlignment w:val="baseline"/>
        <w:rPr>
          <w:rFonts w:ascii="Times New Roman" w:eastAsia="Times New Roman" w:hAnsi="Times New Roman" w:cs="Times New Roman"/>
          <w:color w:val="2C2E35"/>
          <w:kern w:val="0"/>
          <w:sz w:val="33"/>
          <w:szCs w:val="33"/>
          <w:lang w:eastAsia="it-IT"/>
          <w14:ligatures w14:val="none"/>
        </w:rPr>
      </w:pPr>
      <w:r w:rsidRPr="00EC484C">
        <w:rPr>
          <w:rFonts w:ascii="Times New Roman" w:eastAsia="Times New Roman" w:hAnsi="Times New Roman" w:cs="Times New Roman"/>
          <w:noProof/>
          <w:color w:val="0000FF"/>
          <w:kern w:val="0"/>
          <w:sz w:val="33"/>
          <w:szCs w:val="33"/>
          <w:bdr w:val="none" w:sz="0" w:space="0" w:color="auto" w:frame="1"/>
          <w:lang w:eastAsia="it-IT"/>
          <w14:ligatures w14:val="none"/>
        </w:rPr>
        <w:lastRenderedPageBreak/>
        <w:drawing>
          <wp:inline distT="0" distB="0" distL="0" distR="0" wp14:anchorId="76F4C7E4" wp14:editId="27A55EF4">
            <wp:extent cx="5362575" cy="3552825"/>
            <wp:effectExtent l="0" t="0" r="9525" b="9525"/>
            <wp:docPr id="2" name="Immagin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2575" cy="3552825"/>
                    </a:xfrm>
                    <a:prstGeom prst="rect">
                      <a:avLst/>
                    </a:prstGeom>
                    <a:noFill/>
                    <a:ln>
                      <a:noFill/>
                    </a:ln>
                  </pic:spPr>
                </pic:pic>
              </a:graphicData>
            </a:graphic>
          </wp:inline>
        </w:drawing>
      </w:r>
    </w:p>
    <w:p w14:paraId="0F0EDE23" w14:textId="77777777" w:rsidR="006B138F" w:rsidRDefault="006B138F" w:rsidP="00ED72EE">
      <w:pPr>
        <w:pStyle w:val="NormaleWeb"/>
        <w:shd w:val="clear" w:color="auto" w:fill="FFFFFF"/>
        <w:spacing w:before="0" w:beforeAutospacing="0" w:after="144" w:afterAutospacing="0" w:line="480" w:lineRule="auto"/>
        <w:textAlignment w:val="baseline"/>
        <w:rPr>
          <w:color w:val="2C2E35"/>
          <w:sz w:val="33"/>
          <w:szCs w:val="33"/>
        </w:rPr>
      </w:pPr>
    </w:p>
    <w:p w14:paraId="7FEBBA67" w14:textId="29D84C1E" w:rsidR="00E84300" w:rsidRDefault="00EC484C" w:rsidP="007D63BC">
      <w:pPr>
        <w:pStyle w:val="NormaleWeb"/>
        <w:shd w:val="clear" w:color="auto" w:fill="FFFFFF"/>
        <w:spacing w:before="0" w:beforeAutospacing="0" w:after="144" w:afterAutospacing="0" w:line="480" w:lineRule="auto"/>
        <w:jc w:val="both"/>
        <w:textAlignment w:val="baseline"/>
        <w:rPr>
          <w:rFonts w:asciiTheme="minorHAnsi" w:hAnsiTheme="minorHAnsi" w:cstheme="minorHAnsi"/>
          <w:color w:val="2C2E35"/>
          <w:sz w:val="22"/>
          <w:szCs w:val="22"/>
        </w:rPr>
      </w:pPr>
      <w:r w:rsidRPr="00EC484C">
        <w:rPr>
          <w:color w:val="2C2E35"/>
          <w:sz w:val="33"/>
          <w:szCs w:val="33"/>
        </w:rPr>
        <w:t xml:space="preserve"> </w:t>
      </w:r>
      <w:r w:rsidR="006B138F">
        <w:rPr>
          <w:rFonts w:asciiTheme="minorHAnsi" w:hAnsiTheme="minorHAnsi" w:cstheme="minorHAnsi"/>
          <w:color w:val="2C2E35"/>
          <w:sz w:val="22"/>
          <w:szCs w:val="22"/>
        </w:rPr>
        <w:t xml:space="preserve">Per </w:t>
      </w:r>
      <w:r w:rsidR="006B138F" w:rsidRPr="006B138F">
        <w:rPr>
          <w:rFonts w:asciiTheme="minorHAnsi" w:hAnsiTheme="minorHAnsi" w:cstheme="minorHAnsi"/>
          <w:b/>
          <w:bCs/>
          <w:color w:val="2C2E35"/>
          <w:sz w:val="22"/>
          <w:szCs w:val="22"/>
        </w:rPr>
        <w:t>trovare risorse aggiuntive</w:t>
      </w:r>
      <w:r w:rsidR="006B138F">
        <w:rPr>
          <w:rFonts w:asciiTheme="minorHAnsi" w:hAnsiTheme="minorHAnsi" w:cstheme="minorHAnsi"/>
          <w:color w:val="2C2E35"/>
          <w:sz w:val="22"/>
          <w:szCs w:val="22"/>
        </w:rPr>
        <w:t xml:space="preserve"> </w:t>
      </w:r>
      <w:r w:rsidR="00287586" w:rsidRPr="00287586">
        <w:rPr>
          <w:rFonts w:asciiTheme="minorHAnsi" w:hAnsiTheme="minorHAnsi" w:cstheme="minorHAnsi"/>
          <w:color w:val="2C2E35"/>
          <w:sz w:val="22"/>
          <w:szCs w:val="22"/>
        </w:rPr>
        <w:t>I</w:t>
      </w:r>
      <w:r w:rsidRPr="00EC484C">
        <w:rPr>
          <w:rFonts w:asciiTheme="minorHAnsi" w:hAnsiTheme="minorHAnsi" w:cstheme="minorHAnsi"/>
          <w:color w:val="2C2E35"/>
          <w:sz w:val="22"/>
          <w:szCs w:val="22"/>
        </w:rPr>
        <w:t>l governo ha fatto ricorso ad una</w:t>
      </w:r>
      <w:r w:rsidRPr="00EC484C">
        <w:rPr>
          <w:rFonts w:asciiTheme="minorHAnsi" w:hAnsiTheme="minorHAnsi" w:cstheme="minorHAnsi"/>
          <w:b/>
          <w:bCs/>
          <w:color w:val="2C2E35"/>
          <w:sz w:val="22"/>
          <w:szCs w:val="22"/>
        </w:rPr>
        <w:t xml:space="preserve"> tassazione </w:t>
      </w:r>
      <w:proofErr w:type="gramStart"/>
      <w:r w:rsidRPr="00EC484C">
        <w:rPr>
          <w:rFonts w:asciiTheme="minorHAnsi" w:hAnsiTheme="minorHAnsi" w:cstheme="minorHAnsi"/>
          <w:b/>
          <w:bCs/>
          <w:color w:val="2C2E35"/>
          <w:sz w:val="22"/>
          <w:szCs w:val="22"/>
        </w:rPr>
        <w:t xml:space="preserve">straordinaria </w:t>
      </w:r>
      <w:r w:rsidRPr="00EC484C">
        <w:rPr>
          <w:rFonts w:asciiTheme="minorHAnsi" w:hAnsiTheme="minorHAnsi" w:cstheme="minorHAnsi"/>
          <w:color w:val="2C2E35"/>
          <w:sz w:val="22"/>
          <w:szCs w:val="22"/>
        </w:rPr>
        <w:t>.</w:t>
      </w:r>
      <w:proofErr w:type="gramEnd"/>
      <w:r w:rsidR="00CB66A9" w:rsidRPr="00CB66A9">
        <w:rPr>
          <w:rFonts w:asciiTheme="minorHAnsi" w:hAnsiTheme="minorHAnsi" w:cstheme="minorHAnsi"/>
          <w:color w:val="2C2E35"/>
          <w:sz w:val="22"/>
          <w:szCs w:val="22"/>
        </w:rPr>
        <w:t xml:space="preserve"> </w:t>
      </w:r>
      <w:r w:rsidR="00CB66A9">
        <w:rPr>
          <w:rFonts w:asciiTheme="minorHAnsi" w:hAnsiTheme="minorHAnsi" w:cstheme="minorHAnsi"/>
          <w:color w:val="2C2E35"/>
          <w:sz w:val="22"/>
          <w:szCs w:val="22"/>
        </w:rPr>
        <w:t xml:space="preserve">La norma sulla tassazione degli extraprofitti </w:t>
      </w:r>
      <w:r w:rsidR="00CB66A9" w:rsidRPr="00EE5837">
        <w:rPr>
          <w:rFonts w:asciiTheme="minorHAnsi" w:hAnsiTheme="minorHAnsi" w:cstheme="minorHAnsi"/>
          <w:color w:val="2C2E35"/>
          <w:sz w:val="22"/>
          <w:szCs w:val="22"/>
        </w:rPr>
        <w:t>delle banche grazie alla corsa dei tassi (</w:t>
      </w:r>
      <w:r w:rsidR="00CB66A9" w:rsidRPr="00EE5837">
        <w:rPr>
          <w:rStyle w:val="Enfasigrassetto"/>
          <w:rFonts w:asciiTheme="minorHAnsi" w:hAnsiTheme="minorHAnsi" w:cstheme="minorHAnsi"/>
          <w:color w:val="2C2E35"/>
          <w:sz w:val="22"/>
          <w:szCs w:val="22"/>
        </w:rPr>
        <w:t xml:space="preserve">circa 37 miliardi di </w:t>
      </w:r>
      <w:proofErr w:type="gramStart"/>
      <w:r w:rsidR="00CB66A9" w:rsidRPr="00EE5837">
        <w:rPr>
          <w:rStyle w:val="Enfasigrassetto"/>
          <w:rFonts w:asciiTheme="minorHAnsi" w:hAnsiTheme="minorHAnsi" w:cstheme="minorHAnsi"/>
          <w:color w:val="2C2E35"/>
          <w:sz w:val="22"/>
          <w:szCs w:val="22"/>
        </w:rPr>
        <w:t>utili</w:t>
      </w:r>
      <w:r w:rsidR="00CB66A9" w:rsidRPr="00EE5837">
        <w:rPr>
          <w:rFonts w:asciiTheme="minorHAnsi" w:hAnsiTheme="minorHAnsi" w:cstheme="minorHAnsi"/>
          <w:color w:val="2C2E35"/>
          <w:sz w:val="22"/>
          <w:szCs w:val="22"/>
        </w:rPr>
        <w:t xml:space="preserve">) </w:t>
      </w:r>
      <w:r w:rsidR="00742AAA">
        <w:rPr>
          <w:rFonts w:asciiTheme="minorHAnsi" w:hAnsiTheme="minorHAnsi" w:cstheme="minorHAnsi"/>
          <w:color w:val="2C2E35"/>
          <w:sz w:val="22"/>
          <w:szCs w:val="22"/>
        </w:rPr>
        <w:t xml:space="preserve"> </w:t>
      </w:r>
      <w:r w:rsidR="00CB66A9" w:rsidRPr="00EE5837">
        <w:rPr>
          <w:rFonts w:asciiTheme="minorHAnsi" w:hAnsiTheme="minorHAnsi" w:cstheme="minorHAnsi"/>
          <w:color w:val="2C2E35"/>
          <w:sz w:val="22"/>
          <w:szCs w:val="22"/>
        </w:rPr>
        <w:t xml:space="preserve"> </w:t>
      </w:r>
      <w:proofErr w:type="gramEnd"/>
      <w:r w:rsidR="00CB66A9">
        <w:rPr>
          <w:rFonts w:asciiTheme="minorHAnsi" w:hAnsiTheme="minorHAnsi" w:cstheme="minorHAnsi"/>
          <w:color w:val="2C2E35"/>
          <w:sz w:val="22"/>
          <w:szCs w:val="22"/>
        </w:rPr>
        <w:t xml:space="preserve">ha dato adito a </w:t>
      </w:r>
      <w:r w:rsidR="00742AAA">
        <w:rPr>
          <w:rFonts w:asciiTheme="minorHAnsi" w:hAnsiTheme="minorHAnsi" w:cstheme="minorHAnsi"/>
          <w:color w:val="2C2E35"/>
          <w:sz w:val="22"/>
          <w:szCs w:val="22"/>
        </w:rPr>
        <w:t>delicate</w:t>
      </w:r>
      <w:r w:rsidR="00CB66A9">
        <w:rPr>
          <w:rFonts w:asciiTheme="minorHAnsi" w:hAnsiTheme="minorHAnsi" w:cstheme="minorHAnsi"/>
          <w:color w:val="2C2E35"/>
          <w:sz w:val="22"/>
          <w:szCs w:val="22"/>
        </w:rPr>
        <w:t xml:space="preserve"> polemiche</w:t>
      </w:r>
      <w:r w:rsidR="00742AAA">
        <w:rPr>
          <w:rFonts w:asciiTheme="minorHAnsi" w:hAnsiTheme="minorHAnsi" w:cstheme="minorHAnsi"/>
          <w:color w:val="2C2E35"/>
          <w:sz w:val="22"/>
          <w:szCs w:val="22"/>
        </w:rPr>
        <w:t>.</w:t>
      </w:r>
      <w:r w:rsidR="00CB66A9" w:rsidRPr="00EE5837">
        <w:rPr>
          <w:rFonts w:asciiTheme="minorHAnsi" w:hAnsiTheme="minorHAnsi" w:cstheme="minorHAnsi"/>
          <w:color w:val="2C2E35"/>
          <w:sz w:val="22"/>
          <w:szCs w:val="22"/>
        </w:rPr>
        <w:t> </w:t>
      </w:r>
      <w:r w:rsidR="006B138F">
        <w:rPr>
          <w:rFonts w:asciiTheme="minorHAnsi" w:hAnsiTheme="minorHAnsi" w:cstheme="minorHAnsi"/>
          <w:color w:val="2C2E35"/>
          <w:sz w:val="22"/>
          <w:szCs w:val="22"/>
        </w:rPr>
        <w:t>A</w:t>
      </w:r>
      <w:r w:rsidR="00CB66A9">
        <w:rPr>
          <w:rFonts w:asciiTheme="minorHAnsi" w:hAnsiTheme="minorHAnsi" w:cstheme="minorHAnsi"/>
          <w:color w:val="2C2E35"/>
          <w:sz w:val="22"/>
          <w:szCs w:val="22"/>
        </w:rPr>
        <w:t xml:space="preserve">pparsa </w:t>
      </w:r>
      <w:proofErr w:type="gramStart"/>
      <w:r w:rsidR="00CB66A9">
        <w:rPr>
          <w:rFonts w:asciiTheme="minorHAnsi" w:hAnsiTheme="minorHAnsi" w:cstheme="minorHAnsi"/>
          <w:color w:val="2C2E35"/>
          <w:sz w:val="22"/>
          <w:szCs w:val="22"/>
        </w:rPr>
        <w:t xml:space="preserve">come </w:t>
      </w:r>
      <w:r w:rsidR="00CB66A9" w:rsidRPr="00EE5837">
        <w:rPr>
          <w:rFonts w:asciiTheme="minorHAnsi" w:hAnsiTheme="minorHAnsi" w:cstheme="minorHAnsi"/>
          <w:color w:val="2C2E35"/>
          <w:sz w:val="22"/>
          <w:szCs w:val="22"/>
        </w:rPr>
        <w:t xml:space="preserve"> </w:t>
      </w:r>
      <w:r w:rsidR="00CB66A9">
        <w:rPr>
          <w:rFonts w:asciiTheme="minorHAnsi" w:hAnsiTheme="minorHAnsi" w:cstheme="minorHAnsi"/>
          <w:color w:val="2C2E35"/>
          <w:sz w:val="22"/>
          <w:szCs w:val="22"/>
        </w:rPr>
        <w:t>u</w:t>
      </w:r>
      <w:r w:rsidR="00CB66A9" w:rsidRPr="00EE5837">
        <w:rPr>
          <w:rFonts w:asciiTheme="minorHAnsi" w:hAnsiTheme="minorHAnsi" w:cstheme="minorHAnsi"/>
          <w:color w:val="2C2E35"/>
          <w:sz w:val="22"/>
          <w:szCs w:val="22"/>
        </w:rPr>
        <w:t>na</w:t>
      </w:r>
      <w:proofErr w:type="gramEnd"/>
      <w:r w:rsidR="00CB66A9" w:rsidRPr="00EE5837">
        <w:rPr>
          <w:rFonts w:asciiTheme="minorHAnsi" w:hAnsiTheme="minorHAnsi" w:cstheme="minorHAnsi"/>
          <w:color w:val="2C2E35"/>
          <w:sz w:val="22"/>
          <w:szCs w:val="22"/>
        </w:rPr>
        <w:t xml:space="preserve"> mossa decisa “contro” il ministro</w:t>
      </w:r>
      <w:r w:rsidR="00CB66A9">
        <w:rPr>
          <w:rFonts w:asciiTheme="minorHAnsi" w:hAnsiTheme="minorHAnsi" w:cstheme="minorHAnsi"/>
          <w:color w:val="2C2E35"/>
          <w:sz w:val="22"/>
          <w:szCs w:val="22"/>
        </w:rPr>
        <w:t xml:space="preserve"> Giorgetti,</w:t>
      </w:r>
      <w:r w:rsidR="00CB66A9" w:rsidRPr="00EE5837">
        <w:rPr>
          <w:rFonts w:asciiTheme="minorHAnsi" w:hAnsiTheme="minorHAnsi" w:cstheme="minorHAnsi"/>
          <w:color w:val="2C2E35"/>
          <w:sz w:val="22"/>
          <w:szCs w:val="22"/>
        </w:rPr>
        <w:t xml:space="preserve"> </w:t>
      </w:r>
      <w:r w:rsidR="00742AAA">
        <w:rPr>
          <w:rFonts w:asciiTheme="minorHAnsi" w:hAnsiTheme="minorHAnsi" w:cstheme="minorHAnsi"/>
          <w:color w:val="2C2E35"/>
          <w:sz w:val="22"/>
          <w:szCs w:val="22"/>
        </w:rPr>
        <w:t>c</w:t>
      </w:r>
      <w:r w:rsidR="00CB66A9" w:rsidRPr="00EE5837">
        <w:rPr>
          <w:rFonts w:asciiTheme="minorHAnsi" w:hAnsiTheme="minorHAnsi" w:cstheme="minorHAnsi"/>
          <w:color w:val="2C2E35"/>
          <w:sz w:val="22"/>
          <w:szCs w:val="22"/>
        </w:rPr>
        <w:t xml:space="preserve">ontro le banche che hanno da sempre </w:t>
      </w:r>
      <w:r w:rsidR="001B040B">
        <w:rPr>
          <w:rFonts w:asciiTheme="minorHAnsi" w:hAnsiTheme="minorHAnsi" w:cstheme="minorHAnsi"/>
          <w:color w:val="2C2E35"/>
          <w:sz w:val="22"/>
          <w:szCs w:val="22"/>
        </w:rPr>
        <w:t xml:space="preserve">in lui </w:t>
      </w:r>
      <w:r w:rsidR="00CB66A9" w:rsidRPr="00EE5837">
        <w:rPr>
          <w:rFonts w:asciiTheme="minorHAnsi" w:hAnsiTheme="minorHAnsi" w:cstheme="minorHAnsi"/>
          <w:color w:val="2C2E35"/>
          <w:sz w:val="22"/>
          <w:szCs w:val="22"/>
        </w:rPr>
        <w:t xml:space="preserve"> il più fidato referente</w:t>
      </w:r>
      <w:r w:rsidR="001B040B">
        <w:rPr>
          <w:rFonts w:asciiTheme="minorHAnsi" w:hAnsiTheme="minorHAnsi" w:cstheme="minorHAnsi"/>
          <w:color w:val="2C2E35"/>
          <w:sz w:val="22"/>
          <w:szCs w:val="22"/>
        </w:rPr>
        <w:t xml:space="preserve">. Il titolare di via XX </w:t>
      </w:r>
      <w:proofErr w:type="gramStart"/>
      <w:r w:rsidR="001B040B">
        <w:rPr>
          <w:rFonts w:asciiTheme="minorHAnsi" w:hAnsiTheme="minorHAnsi" w:cstheme="minorHAnsi"/>
          <w:color w:val="2C2E35"/>
          <w:sz w:val="22"/>
          <w:szCs w:val="22"/>
        </w:rPr>
        <w:t xml:space="preserve">Settembre </w:t>
      </w:r>
      <w:r w:rsidR="00CB66A9">
        <w:rPr>
          <w:rFonts w:asciiTheme="minorHAnsi" w:hAnsiTheme="minorHAnsi" w:cstheme="minorHAnsi"/>
          <w:color w:val="2C2E35"/>
          <w:sz w:val="22"/>
          <w:szCs w:val="22"/>
        </w:rPr>
        <w:t xml:space="preserve"> </w:t>
      </w:r>
      <w:r w:rsidR="001B040B">
        <w:rPr>
          <w:rFonts w:asciiTheme="minorHAnsi" w:hAnsiTheme="minorHAnsi" w:cstheme="minorHAnsi"/>
          <w:color w:val="2C2E35"/>
          <w:sz w:val="22"/>
          <w:szCs w:val="22"/>
        </w:rPr>
        <w:t>ne</w:t>
      </w:r>
      <w:proofErr w:type="gramEnd"/>
      <w:r w:rsidR="001B040B">
        <w:rPr>
          <w:rFonts w:asciiTheme="minorHAnsi" w:hAnsiTheme="minorHAnsi" w:cstheme="minorHAnsi"/>
          <w:color w:val="2C2E35"/>
          <w:sz w:val="22"/>
          <w:szCs w:val="22"/>
        </w:rPr>
        <w:t xml:space="preserve"> è venuto a conoscenza solo poche ore prima che il testo andasse in Consiglio dei Ministri.</w:t>
      </w:r>
      <w:r w:rsidR="00CB66A9" w:rsidRPr="00EE5837">
        <w:rPr>
          <w:rFonts w:asciiTheme="minorHAnsi" w:hAnsiTheme="minorHAnsi" w:cstheme="minorHAnsi"/>
          <w:color w:val="2C2E35"/>
          <w:sz w:val="22"/>
          <w:szCs w:val="22"/>
        </w:rPr>
        <w:t xml:space="preserve">  </w:t>
      </w:r>
      <w:r w:rsidR="001B040B">
        <w:rPr>
          <w:rFonts w:asciiTheme="minorHAnsi" w:hAnsiTheme="minorHAnsi" w:cstheme="minorHAnsi"/>
          <w:color w:val="2C2E35"/>
          <w:sz w:val="22"/>
          <w:szCs w:val="22"/>
        </w:rPr>
        <w:t>I</w:t>
      </w:r>
      <w:r w:rsidR="00CB66A9" w:rsidRPr="00EE5837">
        <w:rPr>
          <w:rFonts w:asciiTheme="minorHAnsi" w:hAnsiTheme="minorHAnsi" w:cstheme="minorHAnsi"/>
          <w:color w:val="2C2E35"/>
          <w:sz w:val="22"/>
          <w:szCs w:val="22"/>
        </w:rPr>
        <w:t xml:space="preserve">l capo dello Stato ha </w:t>
      </w:r>
      <w:r w:rsidR="00742AAA">
        <w:rPr>
          <w:rFonts w:asciiTheme="minorHAnsi" w:hAnsiTheme="minorHAnsi" w:cstheme="minorHAnsi"/>
          <w:color w:val="2C2E35"/>
          <w:sz w:val="22"/>
          <w:szCs w:val="22"/>
        </w:rPr>
        <w:t xml:space="preserve">ormai </w:t>
      </w:r>
      <w:r w:rsidR="00CB66A9" w:rsidRPr="00EE5837">
        <w:rPr>
          <w:rFonts w:asciiTheme="minorHAnsi" w:hAnsiTheme="minorHAnsi" w:cstheme="minorHAnsi"/>
          <w:color w:val="2C2E35"/>
          <w:sz w:val="22"/>
          <w:szCs w:val="22"/>
        </w:rPr>
        <w:t>firmato il decreto che all’articolo 26 prevede la</w:t>
      </w:r>
      <w:r w:rsidR="00CB66A9" w:rsidRPr="00EE5837">
        <w:rPr>
          <w:rStyle w:val="Enfasigrassetto"/>
          <w:rFonts w:asciiTheme="minorHAnsi" w:hAnsiTheme="minorHAnsi" w:cstheme="minorHAnsi"/>
          <w:color w:val="2C2E35"/>
          <w:sz w:val="22"/>
          <w:szCs w:val="22"/>
        </w:rPr>
        <w:t> tassa una tantum</w:t>
      </w:r>
      <w:r w:rsidR="00CB66A9" w:rsidRPr="00EE5837">
        <w:rPr>
          <w:rFonts w:asciiTheme="minorHAnsi" w:hAnsiTheme="minorHAnsi" w:cstheme="minorHAnsi"/>
          <w:color w:val="2C2E35"/>
          <w:sz w:val="22"/>
          <w:szCs w:val="22"/>
        </w:rPr>
        <w:t>. S</w:t>
      </w:r>
      <w:r w:rsidR="001B040B">
        <w:rPr>
          <w:rFonts w:asciiTheme="minorHAnsi" w:hAnsiTheme="minorHAnsi" w:cstheme="minorHAnsi"/>
          <w:color w:val="2C2E35"/>
          <w:sz w:val="22"/>
          <w:szCs w:val="22"/>
        </w:rPr>
        <w:t>enza dubbio</w:t>
      </w:r>
      <w:r w:rsidR="00CB66A9" w:rsidRPr="00EE5837">
        <w:rPr>
          <w:rFonts w:asciiTheme="minorHAnsi" w:hAnsiTheme="minorHAnsi" w:cstheme="minorHAnsi"/>
          <w:color w:val="2C2E35"/>
          <w:sz w:val="22"/>
          <w:szCs w:val="22"/>
        </w:rPr>
        <w:t xml:space="preserve"> il </w:t>
      </w:r>
      <w:proofErr w:type="gramStart"/>
      <w:r w:rsidR="00CB66A9" w:rsidRPr="00EE5837">
        <w:rPr>
          <w:rFonts w:asciiTheme="minorHAnsi" w:hAnsiTheme="minorHAnsi" w:cstheme="minorHAnsi"/>
          <w:color w:val="2C2E35"/>
          <w:sz w:val="22"/>
          <w:szCs w:val="22"/>
        </w:rPr>
        <w:t>tema  era</w:t>
      </w:r>
      <w:proofErr w:type="gramEnd"/>
      <w:r w:rsidR="00CB66A9" w:rsidRPr="00EE5837">
        <w:rPr>
          <w:rFonts w:asciiTheme="minorHAnsi" w:hAnsiTheme="minorHAnsi" w:cstheme="minorHAnsi"/>
          <w:color w:val="2C2E35"/>
          <w:sz w:val="22"/>
          <w:szCs w:val="22"/>
        </w:rPr>
        <w:t xml:space="preserve"> sul tavolo</w:t>
      </w:r>
      <w:r w:rsidR="00E84300">
        <w:rPr>
          <w:rFonts w:asciiTheme="minorHAnsi" w:hAnsiTheme="minorHAnsi" w:cstheme="minorHAnsi"/>
          <w:color w:val="2C2E35"/>
          <w:sz w:val="22"/>
          <w:szCs w:val="22"/>
        </w:rPr>
        <w:t xml:space="preserve"> su cui il Mef stava lavorando,  per addivenire ad una soluzione  sulla base di una </w:t>
      </w:r>
      <w:r w:rsidR="00CB66A9" w:rsidRPr="00EE5837">
        <w:rPr>
          <w:rFonts w:asciiTheme="minorHAnsi" w:hAnsiTheme="minorHAnsi" w:cstheme="minorHAnsi"/>
          <w:color w:val="2C2E35"/>
          <w:sz w:val="22"/>
          <w:szCs w:val="22"/>
        </w:rPr>
        <w:t>“</w:t>
      </w:r>
      <w:r w:rsidR="00CB66A9" w:rsidRPr="00EE5837">
        <w:rPr>
          <w:rStyle w:val="Enfasigrassetto"/>
          <w:rFonts w:asciiTheme="minorHAnsi" w:hAnsiTheme="minorHAnsi" w:cstheme="minorHAnsi"/>
          <w:color w:val="2C2E35"/>
          <w:sz w:val="22"/>
          <w:szCs w:val="22"/>
        </w:rPr>
        <w:t>autoregolamentazione</w:t>
      </w:r>
      <w:r w:rsidR="00CB66A9" w:rsidRPr="00EE5837">
        <w:rPr>
          <w:rFonts w:asciiTheme="minorHAnsi" w:hAnsiTheme="minorHAnsi" w:cstheme="minorHAnsi"/>
          <w:color w:val="2C2E35"/>
          <w:sz w:val="22"/>
          <w:szCs w:val="22"/>
        </w:rPr>
        <w:t xml:space="preserve">” </w:t>
      </w:r>
      <w:r w:rsidR="00E84300">
        <w:rPr>
          <w:rFonts w:asciiTheme="minorHAnsi" w:hAnsiTheme="minorHAnsi" w:cstheme="minorHAnsi"/>
          <w:color w:val="2C2E35"/>
          <w:sz w:val="22"/>
          <w:szCs w:val="22"/>
        </w:rPr>
        <w:t>.</w:t>
      </w:r>
    </w:p>
    <w:p w14:paraId="3210C8B6" w14:textId="77777777" w:rsidR="006351C6" w:rsidRDefault="00CB66A9" w:rsidP="007D63BC">
      <w:pPr>
        <w:pStyle w:val="NormaleWeb"/>
        <w:shd w:val="clear" w:color="auto" w:fill="FFFFFF"/>
        <w:spacing w:before="0" w:beforeAutospacing="0" w:after="144" w:afterAutospacing="0" w:line="480" w:lineRule="auto"/>
        <w:jc w:val="both"/>
        <w:textAlignment w:val="baseline"/>
        <w:rPr>
          <w:rFonts w:asciiTheme="minorHAnsi" w:hAnsiTheme="minorHAnsi" w:cstheme="minorHAnsi"/>
          <w:color w:val="231919"/>
          <w:sz w:val="22"/>
          <w:szCs w:val="22"/>
        </w:rPr>
      </w:pPr>
      <w:r w:rsidRPr="00EE5837">
        <w:rPr>
          <w:rFonts w:asciiTheme="minorHAnsi" w:hAnsiTheme="minorHAnsi" w:cstheme="minorHAnsi"/>
          <w:color w:val="2C2E35"/>
          <w:sz w:val="22"/>
          <w:szCs w:val="22"/>
        </w:rPr>
        <w:t>Invece c’è stato il blitz di mezza estate,</w:t>
      </w:r>
      <w:r w:rsidRPr="00EE5837">
        <w:rPr>
          <w:rStyle w:val="Enfasigrassetto"/>
          <w:rFonts w:asciiTheme="minorHAnsi" w:hAnsiTheme="minorHAnsi" w:cstheme="minorHAnsi"/>
          <w:color w:val="2C2E35"/>
          <w:sz w:val="22"/>
          <w:szCs w:val="22"/>
        </w:rPr>
        <w:t xml:space="preserve"> i 9 miliardi </w:t>
      </w:r>
      <w:r w:rsidRPr="00742AAA">
        <w:rPr>
          <w:rStyle w:val="Enfasigrassetto"/>
          <w:rFonts w:asciiTheme="minorHAnsi" w:hAnsiTheme="minorHAnsi" w:cstheme="minorHAnsi"/>
          <w:b w:val="0"/>
          <w:bCs w:val="0"/>
          <w:color w:val="2C2E35"/>
          <w:sz w:val="22"/>
          <w:szCs w:val="22"/>
        </w:rPr>
        <w:t>andati in fumo in una seduta di borsa</w:t>
      </w:r>
      <w:r w:rsidR="00742AAA">
        <w:rPr>
          <w:rStyle w:val="Enfasigrassetto"/>
          <w:rFonts w:asciiTheme="minorHAnsi" w:hAnsiTheme="minorHAnsi" w:cstheme="minorHAnsi"/>
          <w:b w:val="0"/>
          <w:bCs w:val="0"/>
          <w:color w:val="2C2E35"/>
          <w:sz w:val="22"/>
          <w:szCs w:val="22"/>
        </w:rPr>
        <w:t xml:space="preserve"> di un</w:t>
      </w:r>
      <w:r w:rsidRPr="00742AAA">
        <w:rPr>
          <w:rStyle w:val="Enfasigrassetto"/>
          <w:rFonts w:asciiTheme="minorHAnsi" w:hAnsiTheme="minorHAnsi" w:cstheme="minorHAnsi"/>
          <w:b w:val="0"/>
          <w:bCs w:val="0"/>
          <w:color w:val="2C2E35"/>
          <w:sz w:val="22"/>
          <w:szCs w:val="22"/>
        </w:rPr>
        <w:t xml:space="preserve"> martedì mattina</w:t>
      </w:r>
      <w:r w:rsidRPr="00742AAA">
        <w:rPr>
          <w:rFonts w:asciiTheme="minorHAnsi" w:hAnsiTheme="minorHAnsi" w:cstheme="minorHAnsi"/>
          <w:b/>
          <w:bCs/>
          <w:color w:val="2C2E35"/>
          <w:sz w:val="22"/>
          <w:szCs w:val="22"/>
        </w:rPr>
        <w:t>.</w:t>
      </w:r>
      <w:r w:rsidRPr="00EE5837">
        <w:rPr>
          <w:rFonts w:asciiTheme="minorHAnsi" w:hAnsiTheme="minorHAnsi" w:cstheme="minorHAnsi"/>
          <w:color w:val="2C2E35"/>
          <w:sz w:val="22"/>
          <w:szCs w:val="22"/>
        </w:rPr>
        <w:t xml:space="preserve"> La tassa ci sarà ma sarà ridefinita meglio in Parlamento, come ha promesso il vicepremier </w:t>
      </w:r>
      <w:r w:rsidRPr="00742AAA">
        <w:rPr>
          <w:rStyle w:val="Enfasigrassetto"/>
          <w:rFonts w:asciiTheme="minorHAnsi" w:hAnsiTheme="minorHAnsi" w:cstheme="minorHAnsi"/>
          <w:b w:val="0"/>
          <w:bCs w:val="0"/>
          <w:color w:val="2C2E35"/>
          <w:sz w:val="22"/>
          <w:szCs w:val="22"/>
        </w:rPr>
        <w:t>Tajani</w:t>
      </w:r>
      <w:r w:rsidRPr="00742AAA">
        <w:rPr>
          <w:rFonts w:asciiTheme="minorHAnsi" w:hAnsiTheme="minorHAnsi" w:cstheme="minorHAnsi"/>
          <w:b/>
          <w:bCs/>
          <w:color w:val="2C2E35"/>
          <w:sz w:val="22"/>
          <w:szCs w:val="22"/>
        </w:rPr>
        <w:t>.</w:t>
      </w:r>
      <w:r w:rsidRPr="00EE5837">
        <w:rPr>
          <w:rFonts w:asciiTheme="minorHAnsi" w:hAnsiTheme="minorHAnsi" w:cstheme="minorHAnsi"/>
          <w:color w:val="2C2E35"/>
          <w:sz w:val="22"/>
          <w:szCs w:val="22"/>
        </w:rPr>
        <w:t xml:space="preserve"> Alla fine il prelievo sarà tra i 2 e i 4 miliardi. Ed ecco che quanto è successo è anche un </w:t>
      </w:r>
      <w:r w:rsidR="00E84300">
        <w:rPr>
          <w:rFonts w:asciiTheme="minorHAnsi" w:hAnsiTheme="minorHAnsi" w:cstheme="minorHAnsi"/>
          <w:color w:val="2C2E35"/>
          <w:sz w:val="22"/>
          <w:szCs w:val="22"/>
        </w:rPr>
        <w:t xml:space="preserve">segnale </w:t>
      </w:r>
      <w:proofErr w:type="gramStart"/>
      <w:r w:rsidR="00E84300">
        <w:rPr>
          <w:rFonts w:asciiTheme="minorHAnsi" w:hAnsiTheme="minorHAnsi" w:cstheme="minorHAnsi"/>
          <w:color w:val="2C2E35"/>
          <w:sz w:val="22"/>
          <w:szCs w:val="22"/>
        </w:rPr>
        <w:t xml:space="preserve">per </w:t>
      </w:r>
      <w:r w:rsidRPr="00EE5837">
        <w:rPr>
          <w:rFonts w:asciiTheme="minorHAnsi" w:hAnsiTheme="minorHAnsi" w:cstheme="minorHAnsi"/>
          <w:color w:val="2C2E35"/>
          <w:sz w:val="22"/>
          <w:szCs w:val="22"/>
        </w:rPr>
        <w:t xml:space="preserve"> </w:t>
      </w:r>
      <w:r w:rsidR="00E84300">
        <w:rPr>
          <w:rFonts w:asciiTheme="minorHAnsi" w:hAnsiTheme="minorHAnsi" w:cstheme="minorHAnsi"/>
          <w:color w:val="2C2E35"/>
          <w:sz w:val="22"/>
          <w:szCs w:val="22"/>
        </w:rPr>
        <w:t>il</w:t>
      </w:r>
      <w:proofErr w:type="gramEnd"/>
      <w:r w:rsidRPr="00EE5837">
        <w:rPr>
          <w:rFonts w:asciiTheme="minorHAnsi" w:hAnsiTheme="minorHAnsi" w:cstheme="minorHAnsi"/>
          <w:color w:val="2C2E35"/>
          <w:sz w:val="22"/>
          <w:szCs w:val="22"/>
        </w:rPr>
        <w:t xml:space="preserve"> Mef e </w:t>
      </w:r>
      <w:r w:rsidR="00E84300">
        <w:rPr>
          <w:rFonts w:asciiTheme="minorHAnsi" w:hAnsiTheme="minorHAnsi" w:cstheme="minorHAnsi"/>
          <w:color w:val="2C2E35"/>
          <w:sz w:val="22"/>
          <w:szCs w:val="22"/>
        </w:rPr>
        <w:t xml:space="preserve">per il </w:t>
      </w:r>
      <w:r w:rsidRPr="00EE5837">
        <w:rPr>
          <w:rFonts w:asciiTheme="minorHAnsi" w:hAnsiTheme="minorHAnsi" w:cstheme="minorHAnsi"/>
          <w:color w:val="2C2E35"/>
          <w:sz w:val="22"/>
          <w:szCs w:val="22"/>
        </w:rPr>
        <w:t xml:space="preserve"> </w:t>
      </w:r>
      <w:r w:rsidR="00742AAA">
        <w:rPr>
          <w:rFonts w:asciiTheme="minorHAnsi" w:hAnsiTheme="minorHAnsi" w:cstheme="minorHAnsi"/>
          <w:color w:val="2C2E35"/>
          <w:sz w:val="22"/>
          <w:szCs w:val="22"/>
        </w:rPr>
        <w:t>M</w:t>
      </w:r>
      <w:r w:rsidRPr="00EE5837">
        <w:rPr>
          <w:rFonts w:asciiTheme="minorHAnsi" w:hAnsiTheme="minorHAnsi" w:cstheme="minorHAnsi"/>
          <w:color w:val="2C2E35"/>
          <w:sz w:val="22"/>
          <w:szCs w:val="22"/>
        </w:rPr>
        <w:t xml:space="preserve">inistro che si accingono a scrivere la Nota di aggiornamento al Def e poi la legge di </w:t>
      </w:r>
      <w:r w:rsidR="00742AAA">
        <w:rPr>
          <w:rFonts w:asciiTheme="minorHAnsi" w:hAnsiTheme="minorHAnsi" w:cstheme="minorHAnsi"/>
          <w:color w:val="2C2E35"/>
          <w:sz w:val="22"/>
          <w:szCs w:val="22"/>
        </w:rPr>
        <w:t>B</w:t>
      </w:r>
      <w:r w:rsidRPr="00EE5837">
        <w:rPr>
          <w:rFonts w:asciiTheme="minorHAnsi" w:hAnsiTheme="minorHAnsi" w:cstheme="minorHAnsi"/>
          <w:color w:val="2C2E35"/>
          <w:sz w:val="22"/>
          <w:szCs w:val="22"/>
        </w:rPr>
        <w:t>ilancio. Non ci sono soldi per soddisfare le promesse fatte:</w:t>
      </w:r>
      <w:r w:rsidR="00742AAA">
        <w:rPr>
          <w:rFonts w:asciiTheme="minorHAnsi" w:hAnsiTheme="minorHAnsi" w:cstheme="minorHAnsi"/>
          <w:color w:val="2C2E35"/>
          <w:sz w:val="22"/>
          <w:szCs w:val="22"/>
        </w:rPr>
        <w:t xml:space="preserve"> in particolare  </w:t>
      </w:r>
      <w:r w:rsidRPr="00EE5837">
        <w:rPr>
          <w:rFonts w:asciiTheme="minorHAnsi" w:hAnsiTheme="minorHAnsi" w:cstheme="minorHAnsi"/>
          <w:color w:val="2C2E35"/>
          <w:sz w:val="22"/>
          <w:szCs w:val="22"/>
        </w:rPr>
        <w:t> </w:t>
      </w:r>
      <w:r w:rsidRPr="00742AAA">
        <w:rPr>
          <w:rStyle w:val="Enfasigrassetto"/>
          <w:rFonts w:asciiTheme="minorHAnsi" w:hAnsiTheme="minorHAnsi" w:cstheme="minorHAnsi"/>
          <w:b w:val="0"/>
          <w:bCs w:val="0"/>
          <w:color w:val="2C2E35"/>
          <w:sz w:val="22"/>
          <w:szCs w:val="22"/>
        </w:rPr>
        <w:t>non ci sono per la riforma delle pensioni</w:t>
      </w:r>
      <w:r w:rsidRPr="00742AAA">
        <w:rPr>
          <w:rFonts w:asciiTheme="minorHAnsi" w:hAnsiTheme="minorHAnsi" w:cstheme="minorHAnsi"/>
          <w:b/>
          <w:bCs/>
          <w:color w:val="2C2E35"/>
          <w:sz w:val="22"/>
          <w:szCs w:val="22"/>
        </w:rPr>
        <w:t xml:space="preserve">, </w:t>
      </w:r>
      <w:r w:rsidRPr="00742AAA">
        <w:rPr>
          <w:rFonts w:asciiTheme="minorHAnsi" w:hAnsiTheme="minorHAnsi" w:cstheme="minorHAnsi"/>
          <w:color w:val="2C2E35"/>
          <w:sz w:val="22"/>
          <w:szCs w:val="22"/>
        </w:rPr>
        <w:t>del sistema fiscale</w:t>
      </w:r>
      <w:r w:rsidR="00C35236" w:rsidRPr="00742AAA">
        <w:rPr>
          <w:rFonts w:cstheme="minorHAnsi"/>
          <w:b/>
          <w:bCs/>
          <w:color w:val="2C2E35"/>
        </w:rPr>
        <w:t>.</w:t>
      </w:r>
      <w:r w:rsidR="00531C96">
        <w:rPr>
          <w:rFonts w:asciiTheme="minorHAnsi" w:hAnsiTheme="minorHAnsi" w:cstheme="minorHAnsi"/>
          <w:color w:val="2C2E35"/>
          <w:sz w:val="22"/>
          <w:szCs w:val="22"/>
        </w:rPr>
        <w:t xml:space="preserve"> Sarà </w:t>
      </w:r>
      <w:r w:rsidR="00EC484C" w:rsidRPr="00EC484C">
        <w:rPr>
          <w:rFonts w:asciiTheme="minorHAnsi" w:hAnsiTheme="minorHAnsi" w:cstheme="minorHAnsi"/>
          <w:color w:val="2C2E35"/>
          <w:sz w:val="22"/>
          <w:szCs w:val="22"/>
        </w:rPr>
        <w:t>difficile</w:t>
      </w:r>
      <w:r w:rsidR="00742AAA">
        <w:rPr>
          <w:rFonts w:asciiTheme="minorHAnsi" w:hAnsiTheme="minorHAnsi" w:cstheme="minorHAnsi"/>
          <w:color w:val="2C2E35"/>
          <w:sz w:val="22"/>
          <w:szCs w:val="22"/>
        </w:rPr>
        <w:t xml:space="preserve"> anche </w:t>
      </w:r>
      <w:proofErr w:type="gramStart"/>
      <w:r w:rsidR="00742AAA">
        <w:rPr>
          <w:rFonts w:asciiTheme="minorHAnsi" w:hAnsiTheme="minorHAnsi" w:cstheme="minorHAnsi"/>
          <w:color w:val="2C2E35"/>
          <w:sz w:val="22"/>
          <w:szCs w:val="22"/>
        </w:rPr>
        <w:t xml:space="preserve">solo </w:t>
      </w:r>
      <w:r w:rsidR="00EC484C" w:rsidRPr="00EC484C">
        <w:rPr>
          <w:rFonts w:asciiTheme="minorHAnsi" w:hAnsiTheme="minorHAnsi" w:cstheme="minorHAnsi"/>
          <w:color w:val="2C2E35"/>
          <w:sz w:val="22"/>
          <w:szCs w:val="22"/>
        </w:rPr>
        <w:t xml:space="preserve"> stabilizzare</w:t>
      </w:r>
      <w:proofErr w:type="gramEnd"/>
      <w:r w:rsidR="00EC484C" w:rsidRPr="00EC484C">
        <w:rPr>
          <w:rFonts w:asciiTheme="minorHAnsi" w:hAnsiTheme="minorHAnsi" w:cstheme="minorHAnsi"/>
          <w:color w:val="2C2E35"/>
          <w:sz w:val="22"/>
          <w:szCs w:val="22"/>
        </w:rPr>
        <w:t xml:space="preserve"> la modesta riduzione del</w:t>
      </w:r>
      <w:r w:rsidR="00EC484C" w:rsidRPr="00EC484C">
        <w:rPr>
          <w:rFonts w:asciiTheme="minorHAnsi" w:hAnsiTheme="minorHAnsi" w:cstheme="minorHAnsi"/>
          <w:b/>
          <w:bCs/>
          <w:color w:val="2C2E35"/>
          <w:sz w:val="22"/>
          <w:szCs w:val="22"/>
        </w:rPr>
        <w:t> cuneo fiscale</w:t>
      </w:r>
      <w:r w:rsidR="00EC484C" w:rsidRPr="00EC484C">
        <w:rPr>
          <w:rFonts w:asciiTheme="minorHAnsi" w:hAnsiTheme="minorHAnsi" w:cstheme="minorHAnsi"/>
          <w:color w:val="2C2E35"/>
          <w:sz w:val="22"/>
          <w:szCs w:val="22"/>
        </w:rPr>
        <w:t xml:space="preserve"> finora coperta per </w:t>
      </w:r>
      <w:r w:rsidR="00EC484C" w:rsidRPr="00EC484C">
        <w:rPr>
          <w:rFonts w:asciiTheme="minorHAnsi" w:hAnsiTheme="minorHAnsi" w:cstheme="minorHAnsi"/>
          <w:color w:val="2C2E35"/>
          <w:sz w:val="22"/>
          <w:szCs w:val="22"/>
        </w:rPr>
        <w:lastRenderedPageBreak/>
        <w:t>pochi mesi. La riduzione delle tass</w:t>
      </w:r>
      <w:r w:rsidR="00531C96">
        <w:rPr>
          <w:rFonts w:asciiTheme="minorHAnsi" w:hAnsiTheme="minorHAnsi" w:cstheme="minorHAnsi"/>
          <w:color w:val="2C2E35"/>
          <w:sz w:val="22"/>
          <w:szCs w:val="22"/>
        </w:rPr>
        <w:t>e è un obiettivo condivisibile ma per</w:t>
      </w:r>
      <w:r w:rsidR="00EC484C" w:rsidRPr="00EC484C">
        <w:rPr>
          <w:rFonts w:asciiTheme="minorHAnsi" w:hAnsiTheme="minorHAnsi" w:cstheme="minorHAnsi"/>
          <w:color w:val="2C2E35"/>
          <w:sz w:val="22"/>
          <w:szCs w:val="22"/>
        </w:rPr>
        <w:t xml:space="preserve"> un paese indebitato come </w:t>
      </w:r>
      <w:proofErr w:type="gramStart"/>
      <w:r w:rsidR="00EC484C" w:rsidRPr="00EC484C">
        <w:rPr>
          <w:rFonts w:asciiTheme="minorHAnsi" w:hAnsiTheme="minorHAnsi" w:cstheme="minorHAnsi"/>
          <w:color w:val="2C2E35"/>
          <w:sz w:val="22"/>
          <w:szCs w:val="22"/>
        </w:rPr>
        <w:t>l’</w:t>
      </w:r>
      <w:proofErr w:type="spellStart"/>
      <w:r w:rsidR="00EC484C" w:rsidRPr="00EC484C">
        <w:rPr>
          <w:rFonts w:asciiTheme="minorHAnsi" w:hAnsiTheme="minorHAnsi" w:cstheme="minorHAnsi"/>
          <w:color w:val="2C2E35"/>
          <w:sz w:val="22"/>
          <w:szCs w:val="22"/>
        </w:rPr>
        <w:t>Italia,per</w:t>
      </w:r>
      <w:proofErr w:type="spellEnd"/>
      <w:proofErr w:type="gramEnd"/>
      <w:r w:rsidR="00EC484C" w:rsidRPr="00EC484C">
        <w:rPr>
          <w:rFonts w:asciiTheme="minorHAnsi" w:hAnsiTheme="minorHAnsi" w:cstheme="minorHAnsi"/>
          <w:color w:val="2C2E35"/>
          <w:sz w:val="22"/>
          <w:szCs w:val="22"/>
        </w:rPr>
        <w:t xml:space="preserve"> </w:t>
      </w:r>
      <w:r w:rsidR="00EC484C" w:rsidRPr="00EC484C">
        <w:rPr>
          <w:rFonts w:asciiTheme="minorHAnsi" w:hAnsiTheme="minorHAnsi" w:cstheme="minorHAnsi"/>
          <w:color w:val="2C2E35"/>
          <w:sz w:val="22"/>
          <w:szCs w:val="22"/>
        </w:rPr>
        <w:br/>
      </w:r>
      <w:r w:rsidR="006351C6">
        <w:rPr>
          <w:rFonts w:asciiTheme="minorHAnsi" w:hAnsiTheme="minorHAnsi" w:cstheme="minorHAnsi"/>
          <w:color w:val="231919"/>
          <w:sz w:val="22"/>
          <w:szCs w:val="22"/>
        </w:rPr>
        <w:t xml:space="preserve">ridurre le tasse bisogna ridurre la spesa. </w:t>
      </w:r>
    </w:p>
    <w:p w14:paraId="718C10F2" w14:textId="48F0B5C0" w:rsidR="005F2090" w:rsidRPr="00531C96" w:rsidRDefault="005F2090" w:rsidP="007D63BC">
      <w:pPr>
        <w:pStyle w:val="NormaleWeb"/>
        <w:shd w:val="clear" w:color="auto" w:fill="FFFFFF"/>
        <w:spacing w:before="0" w:beforeAutospacing="0" w:after="144" w:afterAutospacing="0" w:line="480" w:lineRule="auto"/>
        <w:jc w:val="both"/>
        <w:textAlignment w:val="baseline"/>
        <w:rPr>
          <w:rFonts w:asciiTheme="minorHAnsi" w:hAnsiTheme="minorHAnsi" w:cstheme="minorHAnsi"/>
          <w:color w:val="2C2E35"/>
          <w:sz w:val="22"/>
          <w:szCs w:val="22"/>
        </w:rPr>
      </w:pPr>
      <w:bookmarkStart w:id="0" w:name="_GoBack"/>
      <w:bookmarkEnd w:id="0"/>
      <w:r w:rsidRPr="00531C96">
        <w:rPr>
          <w:rFonts w:asciiTheme="minorHAnsi" w:hAnsiTheme="minorHAnsi" w:cstheme="minorHAnsi"/>
          <w:color w:val="231919"/>
          <w:sz w:val="22"/>
          <w:szCs w:val="22"/>
        </w:rPr>
        <w:t>Quindi, tanta carne al fuoco, ma margini di manovra molto ridotti; sarà difficile qualificare una manovra di destra</w:t>
      </w:r>
      <w:r w:rsidR="00F47E53" w:rsidRPr="00531C96">
        <w:rPr>
          <w:rFonts w:asciiTheme="minorHAnsi" w:hAnsiTheme="minorHAnsi" w:cstheme="minorHAnsi"/>
          <w:color w:val="231919"/>
          <w:sz w:val="22"/>
          <w:szCs w:val="22"/>
        </w:rPr>
        <w:t>-</w:t>
      </w:r>
      <w:r w:rsidRPr="00531C96">
        <w:rPr>
          <w:rFonts w:asciiTheme="minorHAnsi" w:hAnsiTheme="minorHAnsi" w:cstheme="minorHAnsi"/>
          <w:color w:val="231919"/>
          <w:sz w:val="22"/>
          <w:szCs w:val="22"/>
        </w:rPr>
        <w:t>centro coerente con quanto an</w:t>
      </w:r>
      <w:r w:rsidR="00F47E53" w:rsidRPr="00531C96">
        <w:rPr>
          <w:rFonts w:asciiTheme="minorHAnsi" w:hAnsiTheme="minorHAnsi" w:cstheme="minorHAnsi"/>
          <w:color w:val="231919"/>
          <w:sz w:val="22"/>
          <w:szCs w:val="22"/>
        </w:rPr>
        <w:t>n</w:t>
      </w:r>
      <w:r w:rsidRPr="00531C96">
        <w:rPr>
          <w:rFonts w:asciiTheme="minorHAnsi" w:hAnsiTheme="minorHAnsi" w:cstheme="minorHAnsi"/>
          <w:color w:val="231919"/>
          <w:sz w:val="22"/>
          <w:szCs w:val="22"/>
        </w:rPr>
        <w:t>unciato con le campagne elettorali.</w:t>
      </w:r>
      <w:r w:rsidR="00F47E53" w:rsidRPr="00531C96">
        <w:rPr>
          <w:rFonts w:asciiTheme="minorHAnsi" w:hAnsiTheme="minorHAnsi" w:cstheme="minorHAnsi"/>
          <w:color w:val="231919"/>
          <w:sz w:val="22"/>
          <w:szCs w:val="22"/>
        </w:rPr>
        <w:t xml:space="preserve"> </w:t>
      </w:r>
      <w:r w:rsidRPr="00531C96">
        <w:rPr>
          <w:rFonts w:asciiTheme="minorHAnsi" w:hAnsiTheme="minorHAnsi" w:cstheme="minorHAnsi"/>
          <w:color w:val="231919"/>
          <w:sz w:val="22"/>
          <w:szCs w:val="22"/>
        </w:rPr>
        <w:t xml:space="preserve">In realtà ciò ci </w:t>
      </w:r>
      <w:proofErr w:type="gramStart"/>
      <w:r w:rsidRPr="00531C96">
        <w:rPr>
          <w:rFonts w:asciiTheme="minorHAnsi" w:hAnsiTheme="minorHAnsi" w:cstheme="minorHAnsi"/>
          <w:color w:val="231919"/>
          <w:sz w:val="22"/>
          <w:szCs w:val="22"/>
        </w:rPr>
        <w:t>riporta  ad</w:t>
      </w:r>
      <w:proofErr w:type="gramEnd"/>
      <w:r w:rsidRPr="00531C96">
        <w:rPr>
          <w:rFonts w:asciiTheme="minorHAnsi" w:hAnsiTheme="minorHAnsi" w:cstheme="minorHAnsi"/>
          <w:color w:val="231919"/>
          <w:sz w:val="22"/>
          <w:szCs w:val="22"/>
        </w:rPr>
        <w:t xml:space="preserve"> una considerazione generale  che non riguarda solo le scelte  di questo o quello schieramento politico</w:t>
      </w:r>
      <w:r w:rsidR="002A5B01" w:rsidRPr="00531C96">
        <w:rPr>
          <w:rFonts w:asciiTheme="minorHAnsi" w:hAnsiTheme="minorHAnsi" w:cstheme="minorHAnsi"/>
          <w:color w:val="231919"/>
          <w:sz w:val="22"/>
          <w:szCs w:val="22"/>
        </w:rPr>
        <w:t xml:space="preserve">, </w:t>
      </w:r>
      <w:r w:rsidRPr="00531C96">
        <w:rPr>
          <w:rFonts w:asciiTheme="minorHAnsi" w:hAnsiTheme="minorHAnsi" w:cstheme="minorHAnsi"/>
          <w:color w:val="231919"/>
          <w:sz w:val="22"/>
          <w:szCs w:val="22"/>
        </w:rPr>
        <w:t xml:space="preserve"> ma che coinvolge tutte quelle promesse </w:t>
      </w:r>
      <w:r w:rsidR="0005575B" w:rsidRPr="00531C96">
        <w:rPr>
          <w:rFonts w:asciiTheme="minorHAnsi" w:hAnsiTheme="minorHAnsi" w:cstheme="minorHAnsi"/>
          <w:color w:val="231919"/>
          <w:sz w:val="22"/>
          <w:szCs w:val="22"/>
        </w:rPr>
        <w:t xml:space="preserve"> </w:t>
      </w:r>
      <w:r w:rsidRPr="00531C96">
        <w:rPr>
          <w:rFonts w:asciiTheme="minorHAnsi" w:hAnsiTheme="minorHAnsi" w:cstheme="minorHAnsi"/>
          <w:color w:val="231919"/>
          <w:sz w:val="22"/>
          <w:szCs w:val="22"/>
        </w:rPr>
        <w:t xml:space="preserve"> </w:t>
      </w:r>
      <w:r w:rsidR="00F47E53" w:rsidRPr="00531C96">
        <w:rPr>
          <w:rFonts w:asciiTheme="minorHAnsi" w:hAnsiTheme="minorHAnsi" w:cstheme="minorHAnsi"/>
          <w:color w:val="231919"/>
          <w:sz w:val="22"/>
          <w:szCs w:val="22"/>
        </w:rPr>
        <w:t xml:space="preserve">che devono fare i conti con una  realtà </w:t>
      </w:r>
      <w:r w:rsidR="0005575B" w:rsidRPr="00531C96">
        <w:rPr>
          <w:rFonts w:asciiTheme="minorHAnsi" w:hAnsiTheme="minorHAnsi" w:cstheme="minorHAnsi"/>
          <w:color w:val="231919"/>
          <w:sz w:val="22"/>
          <w:szCs w:val="22"/>
        </w:rPr>
        <w:t>ri</w:t>
      </w:r>
      <w:r w:rsidR="005D76BB" w:rsidRPr="00531C96">
        <w:rPr>
          <w:rFonts w:asciiTheme="minorHAnsi" w:hAnsiTheme="minorHAnsi" w:cstheme="minorHAnsi"/>
          <w:color w:val="231919"/>
          <w:sz w:val="22"/>
          <w:szCs w:val="22"/>
        </w:rPr>
        <w:t>velatasi</w:t>
      </w:r>
      <w:r w:rsidR="0005575B" w:rsidRPr="00531C96">
        <w:rPr>
          <w:rFonts w:asciiTheme="minorHAnsi" w:hAnsiTheme="minorHAnsi" w:cstheme="minorHAnsi"/>
          <w:color w:val="231919"/>
          <w:sz w:val="22"/>
          <w:szCs w:val="22"/>
        </w:rPr>
        <w:t xml:space="preserve"> </w:t>
      </w:r>
      <w:r w:rsidR="002A5B01" w:rsidRPr="00531C96">
        <w:rPr>
          <w:rFonts w:asciiTheme="minorHAnsi" w:hAnsiTheme="minorHAnsi" w:cstheme="minorHAnsi"/>
          <w:color w:val="231919"/>
          <w:sz w:val="22"/>
          <w:szCs w:val="22"/>
        </w:rPr>
        <w:t xml:space="preserve"> assai fragile e complessa.</w:t>
      </w:r>
      <w:r w:rsidR="00F47E53" w:rsidRPr="00531C96">
        <w:rPr>
          <w:rFonts w:asciiTheme="minorHAnsi" w:hAnsiTheme="minorHAnsi" w:cstheme="minorHAnsi"/>
          <w:color w:val="231919"/>
          <w:sz w:val="22"/>
          <w:szCs w:val="22"/>
        </w:rPr>
        <w:t xml:space="preserve"> </w:t>
      </w:r>
    </w:p>
    <w:p w14:paraId="579FFBB4" w14:textId="285B3D3A" w:rsidR="00CF3761" w:rsidRPr="0094098A" w:rsidRDefault="00CF3761" w:rsidP="007D63BC">
      <w:pPr>
        <w:spacing w:line="480" w:lineRule="auto"/>
        <w:jc w:val="both"/>
        <w:rPr>
          <w:rFonts w:eastAsia="Times New Roman" w:cstheme="minorHAnsi"/>
          <w:color w:val="231919"/>
          <w:kern w:val="0"/>
          <w:lang w:eastAsia="it-IT"/>
          <w14:ligatures w14:val="none"/>
        </w:rPr>
      </w:pPr>
    </w:p>
    <w:p w14:paraId="580B5393" w14:textId="7A8456E9" w:rsidR="00F1097D" w:rsidRDefault="00F1097D" w:rsidP="007D63BC">
      <w:pPr>
        <w:spacing w:line="480" w:lineRule="auto"/>
        <w:jc w:val="both"/>
        <w:rPr>
          <w:rFonts w:cstheme="minorHAnsi"/>
        </w:rPr>
      </w:pPr>
    </w:p>
    <w:p w14:paraId="2E4F34A9" w14:textId="77777777" w:rsidR="006B7D61" w:rsidRDefault="006B7D61" w:rsidP="007D63BC">
      <w:pPr>
        <w:spacing w:line="240" w:lineRule="auto"/>
        <w:jc w:val="both"/>
        <w:rPr>
          <w:rFonts w:cstheme="minorHAnsi"/>
        </w:rPr>
      </w:pPr>
    </w:p>
    <w:p w14:paraId="4036AA82" w14:textId="4B5F7C78" w:rsidR="006B7D61" w:rsidRPr="00EE5837" w:rsidRDefault="006B7D61" w:rsidP="005D76BB">
      <w:pPr>
        <w:spacing w:line="240" w:lineRule="auto"/>
        <w:jc w:val="both"/>
        <w:rPr>
          <w:rFonts w:cstheme="minorHAnsi"/>
        </w:rPr>
      </w:pPr>
    </w:p>
    <w:sectPr w:rsidR="006B7D61" w:rsidRPr="00EE58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460EE"/>
    <w:multiLevelType w:val="hybridMultilevel"/>
    <w:tmpl w:val="C9684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CA86656"/>
    <w:multiLevelType w:val="multilevel"/>
    <w:tmpl w:val="A1C0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3E0C24"/>
    <w:multiLevelType w:val="hybridMultilevel"/>
    <w:tmpl w:val="C924E9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68"/>
    <w:rsid w:val="0005575B"/>
    <w:rsid w:val="00096452"/>
    <w:rsid w:val="00110E68"/>
    <w:rsid w:val="001B040B"/>
    <w:rsid w:val="001C1D68"/>
    <w:rsid w:val="00287586"/>
    <w:rsid w:val="002A5B01"/>
    <w:rsid w:val="002E1C65"/>
    <w:rsid w:val="003E2CB3"/>
    <w:rsid w:val="0045284D"/>
    <w:rsid w:val="00453581"/>
    <w:rsid w:val="00505D36"/>
    <w:rsid w:val="00531C96"/>
    <w:rsid w:val="00562B71"/>
    <w:rsid w:val="005D6A87"/>
    <w:rsid w:val="005D76BB"/>
    <w:rsid w:val="005F2090"/>
    <w:rsid w:val="006351C6"/>
    <w:rsid w:val="006372C0"/>
    <w:rsid w:val="00693F37"/>
    <w:rsid w:val="006B138F"/>
    <w:rsid w:val="006B728E"/>
    <w:rsid w:val="006B7D61"/>
    <w:rsid w:val="00742AAA"/>
    <w:rsid w:val="00745715"/>
    <w:rsid w:val="00780812"/>
    <w:rsid w:val="007B2753"/>
    <w:rsid w:val="007D63BC"/>
    <w:rsid w:val="00800226"/>
    <w:rsid w:val="0087708C"/>
    <w:rsid w:val="0094098A"/>
    <w:rsid w:val="009938BC"/>
    <w:rsid w:val="00A637D5"/>
    <w:rsid w:val="00AA001B"/>
    <w:rsid w:val="00AE41EC"/>
    <w:rsid w:val="00BD6638"/>
    <w:rsid w:val="00C11131"/>
    <w:rsid w:val="00C35236"/>
    <w:rsid w:val="00CB1207"/>
    <w:rsid w:val="00CB66A9"/>
    <w:rsid w:val="00CF3761"/>
    <w:rsid w:val="00D301BC"/>
    <w:rsid w:val="00E84300"/>
    <w:rsid w:val="00EC40C6"/>
    <w:rsid w:val="00EC484C"/>
    <w:rsid w:val="00ED72EE"/>
    <w:rsid w:val="00EE5837"/>
    <w:rsid w:val="00F1097D"/>
    <w:rsid w:val="00F47E53"/>
    <w:rsid w:val="00F95B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3BF64"/>
  <w15:chartTrackingRefBased/>
  <w15:docId w15:val="{30CDC49E-AD24-4AAF-BF91-730691D2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97D"/>
    <w:pPr>
      <w:ind w:left="720"/>
      <w:contextualSpacing/>
    </w:pPr>
  </w:style>
  <w:style w:type="paragraph" w:styleId="NormaleWeb">
    <w:name w:val="Normal (Web)"/>
    <w:basedOn w:val="Normale"/>
    <w:uiPriority w:val="99"/>
    <w:unhideWhenUsed/>
    <w:rsid w:val="006B7D61"/>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6B7D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117336">
      <w:bodyDiv w:val="1"/>
      <w:marLeft w:val="0"/>
      <w:marRight w:val="0"/>
      <w:marTop w:val="0"/>
      <w:marBottom w:val="0"/>
      <w:divBdr>
        <w:top w:val="none" w:sz="0" w:space="0" w:color="auto"/>
        <w:left w:val="none" w:sz="0" w:space="0" w:color="auto"/>
        <w:bottom w:val="none" w:sz="0" w:space="0" w:color="auto"/>
        <w:right w:val="none" w:sz="0" w:space="0" w:color="auto"/>
      </w:divBdr>
    </w:div>
    <w:div w:id="671294808">
      <w:bodyDiv w:val="1"/>
      <w:marLeft w:val="0"/>
      <w:marRight w:val="0"/>
      <w:marTop w:val="0"/>
      <w:marBottom w:val="0"/>
      <w:divBdr>
        <w:top w:val="none" w:sz="0" w:space="0" w:color="auto"/>
        <w:left w:val="none" w:sz="0" w:space="0" w:color="auto"/>
        <w:bottom w:val="none" w:sz="0" w:space="0" w:color="auto"/>
        <w:right w:val="none" w:sz="0" w:space="0" w:color="auto"/>
      </w:divBdr>
      <w:divsChild>
        <w:div w:id="107159823">
          <w:marLeft w:val="0"/>
          <w:marRight w:val="0"/>
          <w:marTop w:val="0"/>
          <w:marBottom w:val="144"/>
          <w:divBdr>
            <w:top w:val="none" w:sz="0" w:space="0" w:color="auto"/>
            <w:left w:val="none" w:sz="0" w:space="0" w:color="auto"/>
            <w:bottom w:val="none" w:sz="0" w:space="0" w:color="auto"/>
            <w:right w:val="none" w:sz="0" w:space="0" w:color="auto"/>
          </w:divBdr>
        </w:div>
        <w:div w:id="1882859667">
          <w:marLeft w:val="0"/>
          <w:marRight w:val="0"/>
          <w:marTop w:val="360"/>
          <w:marBottom w:val="0"/>
          <w:divBdr>
            <w:top w:val="none" w:sz="0" w:space="0" w:color="auto"/>
            <w:left w:val="none" w:sz="0" w:space="0" w:color="auto"/>
            <w:bottom w:val="none" w:sz="0" w:space="0" w:color="auto"/>
            <w:right w:val="none" w:sz="0" w:space="0" w:color="auto"/>
          </w:divBdr>
          <w:divsChild>
            <w:div w:id="368147097">
              <w:marLeft w:val="0"/>
              <w:marRight w:val="0"/>
              <w:marTop w:val="0"/>
              <w:marBottom w:val="0"/>
              <w:divBdr>
                <w:top w:val="none" w:sz="0" w:space="0" w:color="auto"/>
                <w:left w:val="none" w:sz="0" w:space="0" w:color="auto"/>
                <w:bottom w:val="none" w:sz="0" w:space="0" w:color="auto"/>
                <w:right w:val="none" w:sz="0" w:space="0" w:color="auto"/>
              </w:divBdr>
              <w:divsChild>
                <w:div w:id="783116926">
                  <w:marLeft w:val="0"/>
                  <w:marRight w:val="0"/>
                  <w:marTop w:val="0"/>
                  <w:marBottom w:val="0"/>
                  <w:divBdr>
                    <w:top w:val="none" w:sz="0" w:space="0" w:color="auto"/>
                    <w:left w:val="none" w:sz="0" w:space="0" w:color="auto"/>
                    <w:bottom w:val="none" w:sz="0" w:space="0" w:color="auto"/>
                    <w:right w:val="none" w:sz="0" w:space="0" w:color="auto"/>
                  </w:divBdr>
                  <w:divsChild>
                    <w:div w:id="189416948">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185561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lriformista.it/wp-content/uploads/2023/08/Schermata-2023-08-12-alle-08.15.46.p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41526-8161-41D5-8BE4-DA73869AD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1495</Words>
  <Characters>7973</Characters>
  <Application>Microsoft Office Word</Application>
  <DocSecurity>0</DocSecurity>
  <Lines>104</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dc:creator>
  <cp:keywords/>
  <dc:description/>
  <cp:lastModifiedBy>pc</cp:lastModifiedBy>
  <cp:revision>5</cp:revision>
  <dcterms:created xsi:type="dcterms:W3CDTF">2023-09-05T15:04:00Z</dcterms:created>
  <dcterms:modified xsi:type="dcterms:W3CDTF">2023-09-06T16:25:00Z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39a65653b03fd5006c0dc3ad1e5a28cff2779c8714a16cce3702ec0f1038d13b</vt:lpwstr>
  </property>
</Properties>
</file>